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1984"/>
        <w:gridCol w:w="2897"/>
      </w:tblGrid>
      <w:tr w:rsidR="00A034BB" w:rsidRPr="00C8425B" w:rsidTr="008474CF">
        <w:tc>
          <w:tcPr>
            <w:tcW w:w="2410" w:type="dxa"/>
            <w:shd w:val="clear" w:color="auto" w:fill="auto"/>
          </w:tcPr>
          <w:p w:rsidR="00A034BB" w:rsidRPr="00C8425B" w:rsidRDefault="00A034BB" w:rsidP="008474CF">
            <w:pPr>
              <w:rPr>
                <w:rFonts w:ascii="Arial" w:hAnsi="Arial" w:cs="Arial"/>
              </w:rPr>
            </w:pPr>
            <w:r w:rsidRPr="00C8425B">
              <w:rPr>
                <w:rFonts w:ascii="Arial" w:hAnsi="Arial" w:cs="Arial"/>
              </w:rPr>
              <w:t>Policy Number:</w:t>
            </w:r>
          </w:p>
        </w:tc>
        <w:tc>
          <w:tcPr>
            <w:tcW w:w="1843" w:type="dxa"/>
            <w:shd w:val="clear" w:color="auto" w:fill="auto"/>
          </w:tcPr>
          <w:p w:rsidR="00A034BB" w:rsidRPr="00C8425B" w:rsidRDefault="00DD7004" w:rsidP="008474CF">
            <w:pPr>
              <w:rPr>
                <w:rFonts w:ascii="Arial" w:hAnsi="Arial" w:cs="Arial"/>
              </w:rPr>
            </w:pPr>
            <w:r>
              <w:rPr>
                <w:rFonts w:ascii="Arial" w:hAnsi="Arial" w:cs="Arial"/>
              </w:rPr>
              <w:t>H</w:t>
            </w:r>
            <w:r w:rsidR="00C71D2B">
              <w:rPr>
                <w:rFonts w:ascii="Arial" w:hAnsi="Arial" w:cs="Arial"/>
              </w:rPr>
              <w:t>S</w:t>
            </w:r>
            <w:r w:rsidR="00900EAA">
              <w:rPr>
                <w:rFonts w:ascii="Arial" w:hAnsi="Arial" w:cs="Arial"/>
              </w:rPr>
              <w:t>06</w:t>
            </w:r>
          </w:p>
        </w:tc>
        <w:tc>
          <w:tcPr>
            <w:tcW w:w="1984" w:type="dxa"/>
            <w:shd w:val="clear" w:color="auto" w:fill="auto"/>
          </w:tcPr>
          <w:p w:rsidR="00A034BB" w:rsidRPr="00C8425B" w:rsidRDefault="00A034BB" w:rsidP="008474CF">
            <w:pPr>
              <w:rPr>
                <w:rFonts w:ascii="Arial" w:hAnsi="Arial" w:cs="Arial"/>
              </w:rPr>
            </w:pPr>
            <w:r w:rsidRPr="00C8425B">
              <w:rPr>
                <w:rFonts w:ascii="Arial" w:hAnsi="Arial" w:cs="Arial"/>
              </w:rPr>
              <w:t>Originator:</w:t>
            </w:r>
          </w:p>
        </w:tc>
        <w:tc>
          <w:tcPr>
            <w:tcW w:w="2897" w:type="dxa"/>
            <w:shd w:val="clear" w:color="auto" w:fill="auto"/>
          </w:tcPr>
          <w:p w:rsidR="00A034BB" w:rsidRPr="00C8425B" w:rsidRDefault="00182580" w:rsidP="008474CF">
            <w:pPr>
              <w:rPr>
                <w:rFonts w:ascii="Arial" w:hAnsi="Arial" w:cs="Arial"/>
              </w:rPr>
            </w:pPr>
            <w:r>
              <w:rPr>
                <w:rFonts w:ascii="Arial" w:hAnsi="Arial" w:cs="Arial"/>
              </w:rPr>
              <w:t>Neil Gage</w:t>
            </w:r>
          </w:p>
        </w:tc>
      </w:tr>
      <w:tr w:rsidR="00A034BB" w:rsidRPr="00C8425B" w:rsidTr="008474CF">
        <w:tc>
          <w:tcPr>
            <w:tcW w:w="2410" w:type="dxa"/>
            <w:shd w:val="clear" w:color="auto" w:fill="auto"/>
          </w:tcPr>
          <w:p w:rsidR="00A034BB" w:rsidRPr="00C8425B" w:rsidRDefault="00A034BB" w:rsidP="008474CF">
            <w:pPr>
              <w:rPr>
                <w:rFonts w:ascii="Arial" w:hAnsi="Arial" w:cs="Arial"/>
              </w:rPr>
            </w:pPr>
            <w:r w:rsidRPr="00C8425B">
              <w:rPr>
                <w:rFonts w:ascii="Arial" w:hAnsi="Arial" w:cs="Arial"/>
              </w:rPr>
              <w:t>Issue Number:</w:t>
            </w:r>
          </w:p>
        </w:tc>
        <w:tc>
          <w:tcPr>
            <w:tcW w:w="1843" w:type="dxa"/>
            <w:shd w:val="clear" w:color="auto" w:fill="auto"/>
          </w:tcPr>
          <w:p w:rsidR="00A034BB" w:rsidRPr="00C8425B" w:rsidRDefault="00A034BB" w:rsidP="008474CF">
            <w:pPr>
              <w:rPr>
                <w:rFonts w:ascii="Arial" w:hAnsi="Arial" w:cs="Arial"/>
              </w:rPr>
            </w:pPr>
          </w:p>
        </w:tc>
        <w:tc>
          <w:tcPr>
            <w:tcW w:w="1984" w:type="dxa"/>
            <w:shd w:val="clear" w:color="auto" w:fill="auto"/>
          </w:tcPr>
          <w:p w:rsidR="00A034BB" w:rsidRPr="00C8425B" w:rsidRDefault="00A034BB" w:rsidP="008474CF">
            <w:pPr>
              <w:rPr>
                <w:rFonts w:ascii="Arial" w:hAnsi="Arial" w:cs="Arial"/>
              </w:rPr>
            </w:pPr>
            <w:proofErr w:type="spellStart"/>
            <w:r w:rsidRPr="00C8425B">
              <w:rPr>
                <w:rFonts w:ascii="Arial" w:hAnsi="Arial" w:cs="Arial"/>
              </w:rPr>
              <w:t>Authoriser</w:t>
            </w:r>
            <w:proofErr w:type="spellEnd"/>
            <w:r w:rsidRPr="00C8425B">
              <w:rPr>
                <w:rFonts w:ascii="Arial" w:hAnsi="Arial" w:cs="Arial"/>
              </w:rPr>
              <w:t>:</w:t>
            </w:r>
          </w:p>
        </w:tc>
        <w:tc>
          <w:tcPr>
            <w:tcW w:w="2897" w:type="dxa"/>
            <w:shd w:val="clear" w:color="auto" w:fill="auto"/>
          </w:tcPr>
          <w:p w:rsidR="00A034BB" w:rsidRPr="00C8425B" w:rsidRDefault="00A034BB" w:rsidP="008474CF">
            <w:pPr>
              <w:rPr>
                <w:rFonts w:ascii="Arial" w:hAnsi="Arial" w:cs="Arial"/>
              </w:rPr>
            </w:pPr>
            <w:r w:rsidRPr="00C8425B">
              <w:rPr>
                <w:rFonts w:ascii="Arial" w:hAnsi="Arial" w:cs="Arial"/>
              </w:rPr>
              <w:t>Jason Goddard</w:t>
            </w:r>
          </w:p>
        </w:tc>
      </w:tr>
      <w:tr w:rsidR="00A034BB" w:rsidRPr="00C8425B" w:rsidTr="008474CF">
        <w:tc>
          <w:tcPr>
            <w:tcW w:w="2410" w:type="dxa"/>
            <w:shd w:val="clear" w:color="auto" w:fill="auto"/>
          </w:tcPr>
          <w:p w:rsidR="00A034BB" w:rsidRPr="00C8425B" w:rsidRDefault="00A034BB" w:rsidP="008474CF">
            <w:pPr>
              <w:rPr>
                <w:rFonts w:ascii="Arial" w:hAnsi="Arial" w:cs="Arial"/>
              </w:rPr>
            </w:pPr>
            <w:r w:rsidRPr="00C8425B">
              <w:rPr>
                <w:rFonts w:ascii="Arial" w:hAnsi="Arial" w:cs="Arial"/>
              </w:rPr>
              <w:t>Issue Date:</w:t>
            </w:r>
          </w:p>
        </w:tc>
        <w:tc>
          <w:tcPr>
            <w:tcW w:w="1843" w:type="dxa"/>
            <w:shd w:val="clear" w:color="auto" w:fill="auto"/>
          </w:tcPr>
          <w:p w:rsidR="00A034BB" w:rsidRPr="00C8425B" w:rsidRDefault="00900EAA" w:rsidP="008474CF">
            <w:pPr>
              <w:rPr>
                <w:rFonts w:ascii="Arial" w:hAnsi="Arial" w:cs="Arial"/>
              </w:rPr>
            </w:pPr>
            <w:r>
              <w:rPr>
                <w:rFonts w:ascii="Arial" w:hAnsi="Arial" w:cs="Arial"/>
              </w:rPr>
              <w:t>28/07/2020</w:t>
            </w:r>
          </w:p>
        </w:tc>
        <w:tc>
          <w:tcPr>
            <w:tcW w:w="1984" w:type="dxa"/>
            <w:shd w:val="clear" w:color="auto" w:fill="auto"/>
          </w:tcPr>
          <w:p w:rsidR="00A034BB" w:rsidRPr="00C8425B" w:rsidRDefault="00A034BB" w:rsidP="008474CF">
            <w:pPr>
              <w:rPr>
                <w:rFonts w:ascii="Arial" w:hAnsi="Arial" w:cs="Arial"/>
              </w:rPr>
            </w:pPr>
            <w:r w:rsidRPr="00C8425B">
              <w:rPr>
                <w:rFonts w:ascii="Arial" w:hAnsi="Arial" w:cs="Arial"/>
              </w:rPr>
              <w:t>Service Type:</w:t>
            </w:r>
          </w:p>
        </w:tc>
        <w:tc>
          <w:tcPr>
            <w:tcW w:w="2897" w:type="dxa"/>
            <w:shd w:val="clear" w:color="auto" w:fill="auto"/>
          </w:tcPr>
          <w:p w:rsidR="00A034BB" w:rsidRPr="00C8425B" w:rsidRDefault="00A034BB" w:rsidP="008474CF">
            <w:pPr>
              <w:rPr>
                <w:rFonts w:ascii="Arial" w:hAnsi="Arial" w:cs="Arial"/>
              </w:rPr>
            </w:pPr>
            <w:r w:rsidRPr="00C8425B">
              <w:rPr>
                <w:rFonts w:ascii="Arial" w:hAnsi="Arial" w:cs="Arial"/>
              </w:rPr>
              <w:t>Education</w:t>
            </w:r>
          </w:p>
        </w:tc>
      </w:tr>
      <w:tr w:rsidR="00A034BB" w:rsidRPr="00C8425B" w:rsidTr="008474CF">
        <w:tc>
          <w:tcPr>
            <w:tcW w:w="2410" w:type="dxa"/>
            <w:shd w:val="clear" w:color="auto" w:fill="auto"/>
          </w:tcPr>
          <w:p w:rsidR="00A034BB" w:rsidRPr="00C8425B" w:rsidRDefault="00A034BB" w:rsidP="008474CF">
            <w:pPr>
              <w:rPr>
                <w:rFonts w:ascii="Arial" w:hAnsi="Arial" w:cs="Arial"/>
              </w:rPr>
            </w:pPr>
            <w:r w:rsidRPr="00C8425B">
              <w:rPr>
                <w:rFonts w:ascii="Arial" w:hAnsi="Arial" w:cs="Arial"/>
              </w:rPr>
              <w:t>Next Review Due:</w:t>
            </w:r>
          </w:p>
        </w:tc>
        <w:tc>
          <w:tcPr>
            <w:tcW w:w="1843" w:type="dxa"/>
            <w:shd w:val="clear" w:color="auto" w:fill="auto"/>
          </w:tcPr>
          <w:p w:rsidR="00A034BB" w:rsidRPr="00C8425B" w:rsidRDefault="00900EAA" w:rsidP="008474CF">
            <w:pPr>
              <w:rPr>
                <w:rFonts w:ascii="Arial" w:hAnsi="Arial" w:cs="Arial"/>
              </w:rPr>
            </w:pPr>
            <w:r>
              <w:rPr>
                <w:rFonts w:ascii="Arial" w:hAnsi="Arial" w:cs="Arial"/>
              </w:rPr>
              <w:t>01/08/2021</w:t>
            </w:r>
          </w:p>
        </w:tc>
        <w:tc>
          <w:tcPr>
            <w:tcW w:w="1984" w:type="dxa"/>
            <w:shd w:val="clear" w:color="auto" w:fill="auto"/>
          </w:tcPr>
          <w:p w:rsidR="00A034BB" w:rsidRPr="00C8425B" w:rsidRDefault="00A034BB" w:rsidP="008474CF">
            <w:pPr>
              <w:rPr>
                <w:rFonts w:ascii="Arial" w:hAnsi="Arial" w:cs="Arial"/>
              </w:rPr>
            </w:pPr>
            <w:r w:rsidRPr="00C8425B">
              <w:rPr>
                <w:rFonts w:ascii="Arial" w:hAnsi="Arial" w:cs="Arial"/>
              </w:rPr>
              <w:t>Policy Location:</w:t>
            </w:r>
          </w:p>
        </w:tc>
        <w:tc>
          <w:tcPr>
            <w:tcW w:w="2897" w:type="dxa"/>
            <w:shd w:val="clear" w:color="auto" w:fill="auto"/>
          </w:tcPr>
          <w:p w:rsidR="00A034BB" w:rsidRPr="00C8425B" w:rsidRDefault="00182580" w:rsidP="008474CF">
            <w:pPr>
              <w:rPr>
                <w:rFonts w:ascii="Arial" w:hAnsi="Arial" w:cs="Arial"/>
              </w:rPr>
            </w:pPr>
            <w:proofErr w:type="spellStart"/>
            <w:r>
              <w:rPr>
                <w:rFonts w:ascii="Arial" w:hAnsi="Arial" w:cs="Arial"/>
              </w:rPr>
              <w:t>Wessex</w:t>
            </w:r>
            <w:proofErr w:type="spellEnd"/>
            <w:r>
              <w:rPr>
                <w:rFonts w:ascii="Arial" w:hAnsi="Arial" w:cs="Arial"/>
              </w:rPr>
              <w:t xml:space="preserve"> Lodge School/ </w:t>
            </w:r>
            <w:proofErr w:type="spellStart"/>
            <w:r>
              <w:rPr>
                <w:rFonts w:ascii="Arial" w:hAnsi="Arial" w:cs="Arial"/>
              </w:rPr>
              <w:t>Triskele</w:t>
            </w:r>
            <w:proofErr w:type="spellEnd"/>
            <w:r>
              <w:rPr>
                <w:rFonts w:ascii="Arial" w:hAnsi="Arial" w:cs="Arial"/>
              </w:rPr>
              <w:t xml:space="preserve"> Farm</w:t>
            </w:r>
            <w:r w:rsidR="00A034BB" w:rsidRPr="00C8425B">
              <w:rPr>
                <w:rFonts w:ascii="Arial" w:hAnsi="Arial" w:cs="Arial"/>
              </w:rPr>
              <w:t xml:space="preserve"> Policy File</w:t>
            </w:r>
          </w:p>
        </w:tc>
      </w:tr>
    </w:tbl>
    <w:p w:rsidR="00A034BB" w:rsidRPr="00C8425B" w:rsidRDefault="00A034BB" w:rsidP="00A034BB">
      <w:pPr>
        <w:rPr>
          <w:rFonts w:ascii="Arial" w:hAnsi="Arial" w:cs="Arial"/>
        </w:rPr>
      </w:pPr>
    </w:p>
    <w:p w:rsidR="00A034BB" w:rsidRPr="00C8425B" w:rsidRDefault="00C8425B" w:rsidP="00A034BB">
      <w:pPr>
        <w:rPr>
          <w:rFonts w:ascii="Arial" w:hAnsi="Arial" w:cs="Arial"/>
        </w:rPr>
      </w:pPr>
      <w:r w:rsidRPr="00C8425B">
        <w:rPr>
          <w:rFonts w:ascii="Arial" w:eastAsia="MS Mincho" w:hAnsi="Arial" w:cs="Arial"/>
        </w:rPr>
        <w:t>Enhanced Learning Services are committed to safeguarding the welfare of all staff and students by ensuring a comprehensive risk management system is in place.</w:t>
      </w:r>
    </w:p>
    <w:p w:rsidR="00C8425B" w:rsidRDefault="00C8425B" w:rsidP="00A034BB">
      <w:pPr>
        <w:rPr>
          <w:rFonts w:ascii="Arial" w:hAnsi="Arial" w:cs="Arial"/>
        </w:rPr>
      </w:pPr>
    </w:p>
    <w:p w:rsidR="00C8425B" w:rsidRPr="00F53014" w:rsidRDefault="00C8425B" w:rsidP="00C8425B">
      <w:pPr>
        <w:rPr>
          <w:rFonts w:ascii="Trebuchet MS" w:hAnsi="Trebuchet MS"/>
          <w:b/>
          <w:sz w:val="22"/>
          <w:szCs w:val="22"/>
        </w:rPr>
      </w:pPr>
      <w:r w:rsidRPr="00F53014">
        <w:rPr>
          <w:rFonts w:ascii="Trebuchet MS" w:hAnsi="Trebuchet MS"/>
          <w:b/>
          <w:sz w:val="22"/>
          <w:szCs w:val="22"/>
        </w:rPr>
        <w:t>Key Principles:</w:t>
      </w:r>
    </w:p>
    <w:p w:rsidR="00C8425B" w:rsidRPr="00F53014" w:rsidRDefault="00C8425B" w:rsidP="00C8425B">
      <w:pPr>
        <w:numPr>
          <w:ilvl w:val="0"/>
          <w:numId w:val="14"/>
        </w:numPr>
        <w:rPr>
          <w:rFonts w:ascii="Trebuchet MS" w:hAnsi="Trebuchet MS"/>
          <w:sz w:val="22"/>
          <w:szCs w:val="22"/>
        </w:rPr>
      </w:pPr>
      <w:r w:rsidRPr="00F53014">
        <w:rPr>
          <w:rFonts w:ascii="Trebuchet MS" w:hAnsi="Trebuchet MS"/>
          <w:sz w:val="22"/>
          <w:szCs w:val="22"/>
        </w:rPr>
        <w:t xml:space="preserve">The </w:t>
      </w:r>
      <w:r w:rsidR="004E7867">
        <w:rPr>
          <w:rFonts w:ascii="Trebuchet MS" w:hAnsi="Trebuchet MS"/>
          <w:sz w:val="22"/>
          <w:szCs w:val="22"/>
        </w:rPr>
        <w:t>Group Director for Education and Learning</w:t>
      </w:r>
      <w:r w:rsidRPr="00F53014">
        <w:rPr>
          <w:rFonts w:ascii="Trebuchet MS" w:hAnsi="Trebuchet MS"/>
          <w:sz w:val="22"/>
          <w:szCs w:val="22"/>
        </w:rPr>
        <w:t xml:space="preserve"> have responsibility for overseeing risk management within the </w:t>
      </w:r>
      <w:proofErr w:type="spellStart"/>
      <w:r w:rsidRPr="00F53014">
        <w:rPr>
          <w:rFonts w:ascii="Trebuchet MS" w:hAnsi="Trebuchet MS"/>
          <w:sz w:val="22"/>
          <w:szCs w:val="22"/>
        </w:rPr>
        <w:t>organisation</w:t>
      </w:r>
      <w:proofErr w:type="spellEnd"/>
      <w:r w:rsidRPr="00F53014">
        <w:rPr>
          <w:rFonts w:ascii="Trebuchet MS" w:hAnsi="Trebuchet MS"/>
          <w:sz w:val="22"/>
          <w:szCs w:val="22"/>
        </w:rPr>
        <w:t xml:space="preserve"> as a whole</w:t>
      </w:r>
    </w:p>
    <w:p w:rsidR="00C8425B" w:rsidRPr="00F53014" w:rsidRDefault="00C8425B" w:rsidP="00C8425B">
      <w:pPr>
        <w:numPr>
          <w:ilvl w:val="0"/>
          <w:numId w:val="14"/>
        </w:numPr>
        <w:rPr>
          <w:rFonts w:ascii="Trebuchet MS" w:hAnsi="Trebuchet MS"/>
          <w:sz w:val="22"/>
          <w:szCs w:val="22"/>
        </w:rPr>
      </w:pPr>
      <w:r w:rsidRPr="00F53014">
        <w:rPr>
          <w:rFonts w:ascii="Trebuchet MS" w:hAnsi="Trebuchet MS"/>
          <w:sz w:val="22"/>
          <w:szCs w:val="22"/>
        </w:rPr>
        <w:t>An open and receptive approach to solving risk problems is adopted by the Directors</w:t>
      </w:r>
    </w:p>
    <w:p w:rsidR="00C8425B" w:rsidRPr="00F53014" w:rsidRDefault="00C8425B" w:rsidP="00C8425B">
      <w:pPr>
        <w:numPr>
          <w:ilvl w:val="0"/>
          <w:numId w:val="14"/>
        </w:numPr>
        <w:rPr>
          <w:rFonts w:ascii="Trebuchet MS" w:hAnsi="Trebuchet MS"/>
          <w:sz w:val="22"/>
          <w:szCs w:val="22"/>
        </w:rPr>
      </w:pPr>
      <w:r>
        <w:rPr>
          <w:rFonts w:ascii="Trebuchet MS" w:hAnsi="Trebuchet MS"/>
          <w:sz w:val="22"/>
          <w:szCs w:val="22"/>
        </w:rPr>
        <w:t xml:space="preserve">Enhanced Learning Services </w:t>
      </w:r>
      <w:proofErr w:type="gramStart"/>
      <w:r>
        <w:rPr>
          <w:rFonts w:ascii="Trebuchet MS" w:hAnsi="Trebuchet MS"/>
          <w:sz w:val="22"/>
          <w:szCs w:val="22"/>
        </w:rPr>
        <w:t>employ</w:t>
      </w:r>
      <w:proofErr w:type="gramEnd"/>
      <w:r w:rsidRPr="00F53014">
        <w:rPr>
          <w:rFonts w:ascii="Trebuchet MS" w:hAnsi="Trebuchet MS"/>
          <w:sz w:val="22"/>
          <w:szCs w:val="22"/>
        </w:rPr>
        <w:t xml:space="preserve"> Citation PLC as Health and Safety consultants for the company</w:t>
      </w:r>
    </w:p>
    <w:p w:rsidR="00C8425B" w:rsidRPr="00F53014" w:rsidRDefault="00C8425B" w:rsidP="00C8425B">
      <w:pPr>
        <w:numPr>
          <w:ilvl w:val="0"/>
          <w:numId w:val="14"/>
        </w:numPr>
        <w:rPr>
          <w:rFonts w:ascii="Trebuchet MS" w:hAnsi="Trebuchet MS"/>
          <w:sz w:val="22"/>
          <w:szCs w:val="22"/>
        </w:rPr>
      </w:pPr>
      <w:r w:rsidRPr="00F53014">
        <w:rPr>
          <w:rFonts w:ascii="Trebuchet MS" w:hAnsi="Trebuchet MS"/>
          <w:sz w:val="22"/>
          <w:szCs w:val="22"/>
        </w:rPr>
        <w:t xml:space="preserve">Managers within </w:t>
      </w:r>
      <w:r>
        <w:rPr>
          <w:rFonts w:ascii="Trebuchet MS" w:hAnsi="Trebuchet MS"/>
          <w:sz w:val="22"/>
          <w:szCs w:val="22"/>
        </w:rPr>
        <w:t xml:space="preserve">Enhanced Learning Services </w:t>
      </w:r>
      <w:r w:rsidRPr="00F53014">
        <w:rPr>
          <w:rFonts w:ascii="Trebuchet MS" w:hAnsi="Trebuchet MS"/>
          <w:sz w:val="22"/>
          <w:szCs w:val="22"/>
        </w:rPr>
        <w:t>are responsible for encouraging good risk management practice within their teams</w:t>
      </w:r>
    </w:p>
    <w:p w:rsidR="00C8425B" w:rsidRPr="00F53014" w:rsidRDefault="00C8425B" w:rsidP="00C8425B">
      <w:pPr>
        <w:numPr>
          <w:ilvl w:val="0"/>
          <w:numId w:val="14"/>
        </w:numPr>
        <w:rPr>
          <w:rFonts w:ascii="Trebuchet MS" w:hAnsi="Trebuchet MS"/>
          <w:sz w:val="22"/>
          <w:szCs w:val="22"/>
        </w:rPr>
      </w:pPr>
      <w:r w:rsidRPr="00F53014">
        <w:rPr>
          <w:rFonts w:ascii="Trebuchet MS" w:hAnsi="Trebuchet MS"/>
          <w:sz w:val="22"/>
          <w:szCs w:val="22"/>
        </w:rPr>
        <w:t>Key risk indicators will be identified and closely monitored on a regular basis</w:t>
      </w:r>
    </w:p>
    <w:p w:rsidR="00C8425B" w:rsidRPr="00F53014" w:rsidRDefault="00C8425B" w:rsidP="00C8425B">
      <w:pPr>
        <w:numPr>
          <w:ilvl w:val="0"/>
          <w:numId w:val="14"/>
        </w:numPr>
        <w:rPr>
          <w:rFonts w:ascii="Trebuchet MS" w:hAnsi="Trebuchet MS"/>
          <w:sz w:val="22"/>
          <w:szCs w:val="22"/>
        </w:rPr>
      </w:pPr>
      <w:r w:rsidRPr="00F53014">
        <w:rPr>
          <w:rFonts w:ascii="Trebuchet MS" w:hAnsi="Trebuchet MS"/>
          <w:sz w:val="22"/>
          <w:szCs w:val="22"/>
        </w:rPr>
        <w:t xml:space="preserve">The </w:t>
      </w:r>
      <w:r>
        <w:rPr>
          <w:rFonts w:ascii="Trebuchet MS" w:hAnsi="Trebuchet MS"/>
          <w:sz w:val="22"/>
          <w:szCs w:val="22"/>
        </w:rPr>
        <w:t>Enhanced Learning Services</w:t>
      </w:r>
      <w:r w:rsidRPr="00F53014">
        <w:rPr>
          <w:rFonts w:ascii="Trebuchet MS" w:hAnsi="Trebuchet MS"/>
          <w:sz w:val="22"/>
          <w:szCs w:val="22"/>
        </w:rPr>
        <w:t xml:space="preserve"> Procedural Guidelines, Policies and Paperwork are in place to </w:t>
      </w:r>
      <w:proofErr w:type="spellStart"/>
      <w:r w:rsidRPr="00F53014">
        <w:rPr>
          <w:rFonts w:ascii="Trebuchet MS" w:hAnsi="Trebuchet MS"/>
          <w:sz w:val="22"/>
          <w:szCs w:val="22"/>
        </w:rPr>
        <w:t>minimise</w:t>
      </w:r>
      <w:proofErr w:type="spellEnd"/>
      <w:r w:rsidRPr="00F53014">
        <w:rPr>
          <w:rFonts w:ascii="Trebuchet MS" w:hAnsi="Trebuchet MS"/>
          <w:sz w:val="22"/>
          <w:szCs w:val="22"/>
        </w:rPr>
        <w:t xml:space="preserve"> risk in different areas of our services  </w:t>
      </w:r>
    </w:p>
    <w:p w:rsidR="00C8425B" w:rsidRPr="00F53014" w:rsidRDefault="00C8425B" w:rsidP="00C8425B">
      <w:pPr>
        <w:numPr>
          <w:ilvl w:val="0"/>
          <w:numId w:val="14"/>
        </w:numPr>
        <w:rPr>
          <w:rFonts w:ascii="Trebuchet MS" w:hAnsi="Trebuchet MS"/>
          <w:sz w:val="22"/>
          <w:szCs w:val="22"/>
        </w:rPr>
      </w:pPr>
      <w:r w:rsidRPr="00F53014">
        <w:rPr>
          <w:rFonts w:ascii="Trebuchet MS" w:hAnsi="Trebuchet MS"/>
          <w:sz w:val="22"/>
          <w:szCs w:val="22"/>
        </w:rPr>
        <w:t xml:space="preserve">All staff within </w:t>
      </w:r>
      <w:r>
        <w:rPr>
          <w:rFonts w:ascii="Trebuchet MS" w:hAnsi="Trebuchet MS"/>
          <w:sz w:val="22"/>
          <w:szCs w:val="22"/>
        </w:rPr>
        <w:t>Enhanced Learning Services</w:t>
      </w:r>
      <w:r w:rsidRPr="00F53014">
        <w:rPr>
          <w:rFonts w:ascii="Trebuchet MS" w:hAnsi="Trebuchet MS"/>
          <w:sz w:val="22"/>
          <w:szCs w:val="22"/>
        </w:rPr>
        <w:t xml:space="preserve"> are responsible for following the company procedural guidelines and using the related documentation to enable them to manage risk on a day to day basis</w:t>
      </w:r>
    </w:p>
    <w:p w:rsidR="00C8425B" w:rsidRPr="00F53014" w:rsidRDefault="00C8425B" w:rsidP="00C8425B">
      <w:pPr>
        <w:rPr>
          <w:rFonts w:ascii="Trebuchet MS" w:hAnsi="Trebuchet MS"/>
          <w:sz w:val="22"/>
          <w:szCs w:val="22"/>
        </w:rPr>
      </w:pPr>
    </w:p>
    <w:p w:rsidR="00C8425B" w:rsidRPr="00F53014" w:rsidRDefault="00C8425B" w:rsidP="00C8425B">
      <w:pPr>
        <w:rPr>
          <w:rFonts w:ascii="Trebuchet MS" w:hAnsi="Trebuchet MS"/>
          <w:b/>
          <w:sz w:val="22"/>
          <w:szCs w:val="22"/>
        </w:rPr>
      </w:pPr>
      <w:r w:rsidRPr="00F53014">
        <w:rPr>
          <w:rFonts w:ascii="Trebuchet MS" w:hAnsi="Trebuchet MS"/>
          <w:b/>
          <w:sz w:val="22"/>
          <w:szCs w:val="22"/>
        </w:rPr>
        <w:t>Risk Assessment:</w:t>
      </w:r>
    </w:p>
    <w:p w:rsidR="00C8425B" w:rsidRPr="00F53014" w:rsidRDefault="00C8425B" w:rsidP="00C8425B">
      <w:pPr>
        <w:rPr>
          <w:rFonts w:ascii="Trebuchet MS" w:hAnsi="Trebuchet MS"/>
          <w:sz w:val="22"/>
          <w:szCs w:val="22"/>
        </w:rPr>
      </w:pPr>
      <w:r w:rsidRPr="00F53014">
        <w:rPr>
          <w:rFonts w:ascii="Trebuchet MS" w:hAnsi="Trebuchet MS"/>
          <w:sz w:val="22"/>
          <w:szCs w:val="22"/>
        </w:rPr>
        <w:t>According to company procedural guidelines, risk assessments are carried out in the following areas:</w:t>
      </w:r>
    </w:p>
    <w:p w:rsidR="00C8425B" w:rsidRPr="00F53014" w:rsidRDefault="00C8425B" w:rsidP="00C8425B">
      <w:pPr>
        <w:rPr>
          <w:rFonts w:ascii="Trebuchet MS" w:hAnsi="Trebuchet MS"/>
          <w:sz w:val="22"/>
          <w:szCs w:val="22"/>
        </w:rPr>
      </w:pPr>
    </w:p>
    <w:p w:rsidR="00C8425B" w:rsidRPr="00F53014" w:rsidRDefault="00C8425B" w:rsidP="00C8425B">
      <w:pPr>
        <w:numPr>
          <w:ilvl w:val="0"/>
          <w:numId w:val="15"/>
        </w:numPr>
        <w:rPr>
          <w:rFonts w:ascii="Trebuchet MS" w:hAnsi="Trebuchet MS"/>
          <w:sz w:val="22"/>
          <w:szCs w:val="22"/>
        </w:rPr>
      </w:pPr>
      <w:r w:rsidRPr="00F53014">
        <w:rPr>
          <w:rFonts w:ascii="Trebuchet MS" w:hAnsi="Trebuchet MS"/>
          <w:b/>
          <w:i/>
          <w:sz w:val="22"/>
          <w:szCs w:val="22"/>
        </w:rPr>
        <w:t>Each individual student</w:t>
      </w:r>
      <w:r>
        <w:rPr>
          <w:rFonts w:ascii="Trebuchet MS" w:hAnsi="Trebuchet MS"/>
          <w:sz w:val="22"/>
          <w:szCs w:val="22"/>
        </w:rPr>
        <w:t xml:space="preserve"> – each student has a </w:t>
      </w:r>
      <w:r w:rsidRPr="00F53014">
        <w:rPr>
          <w:rFonts w:ascii="Trebuchet MS" w:hAnsi="Trebuchet MS"/>
          <w:sz w:val="22"/>
          <w:szCs w:val="22"/>
        </w:rPr>
        <w:t xml:space="preserve">Risk Assessment and </w:t>
      </w:r>
      <w:proofErr w:type="spellStart"/>
      <w:r w:rsidRPr="00F53014">
        <w:rPr>
          <w:rFonts w:ascii="Trebuchet MS" w:hAnsi="Trebuchet MS"/>
          <w:sz w:val="22"/>
          <w:szCs w:val="22"/>
        </w:rPr>
        <w:t>Behaviour</w:t>
      </w:r>
      <w:proofErr w:type="spellEnd"/>
      <w:r w:rsidRPr="00F53014">
        <w:rPr>
          <w:rFonts w:ascii="Trebuchet MS" w:hAnsi="Trebuchet MS"/>
          <w:sz w:val="22"/>
          <w:szCs w:val="22"/>
        </w:rPr>
        <w:t xml:space="preserve"> Support Plan in place and this document is reviewed on a regular basis and agreed by all staff who work with the individual student</w:t>
      </w:r>
    </w:p>
    <w:p w:rsidR="00C8425B" w:rsidRPr="00F53014" w:rsidRDefault="00C8425B" w:rsidP="00C8425B">
      <w:pPr>
        <w:numPr>
          <w:ilvl w:val="0"/>
          <w:numId w:val="15"/>
        </w:numPr>
        <w:rPr>
          <w:rFonts w:ascii="Trebuchet MS" w:hAnsi="Trebuchet MS"/>
          <w:sz w:val="22"/>
          <w:szCs w:val="22"/>
        </w:rPr>
      </w:pPr>
      <w:r w:rsidRPr="00F53014">
        <w:rPr>
          <w:rFonts w:ascii="Trebuchet MS" w:hAnsi="Trebuchet MS"/>
          <w:b/>
          <w:i/>
          <w:sz w:val="22"/>
          <w:szCs w:val="22"/>
        </w:rPr>
        <w:t>Each educational activity</w:t>
      </w:r>
      <w:r w:rsidRPr="00F53014">
        <w:rPr>
          <w:rFonts w:ascii="Trebuchet MS" w:hAnsi="Trebuchet MS"/>
          <w:sz w:val="22"/>
          <w:szCs w:val="22"/>
        </w:rPr>
        <w:t xml:space="preserve"> – each lesson </w:t>
      </w:r>
      <w:r>
        <w:rPr>
          <w:rFonts w:ascii="Trebuchet MS" w:hAnsi="Trebuchet MS"/>
          <w:sz w:val="22"/>
          <w:szCs w:val="22"/>
        </w:rPr>
        <w:t xml:space="preserve">is planned and </w:t>
      </w:r>
      <w:r w:rsidRPr="00F53014">
        <w:rPr>
          <w:rFonts w:ascii="Trebuchet MS" w:hAnsi="Trebuchet MS"/>
          <w:sz w:val="22"/>
          <w:szCs w:val="22"/>
        </w:rPr>
        <w:t>specifica</w:t>
      </w:r>
      <w:r>
        <w:rPr>
          <w:rFonts w:ascii="Trebuchet MS" w:hAnsi="Trebuchet MS"/>
          <w:sz w:val="22"/>
          <w:szCs w:val="22"/>
        </w:rPr>
        <w:t>lly risk assessed. T</w:t>
      </w:r>
      <w:r w:rsidRPr="00F53014">
        <w:rPr>
          <w:rFonts w:ascii="Trebuchet MS" w:hAnsi="Trebuchet MS"/>
          <w:sz w:val="22"/>
          <w:szCs w:val="22"/>
        </w:rPr>
        <w:t>he teacher/tutor will take into account the risk assessment surrounding the individual student when planning educational activities</w:t>
      </w:r>
    </w:p>
    <w:p w:rsidR="00C8425B" w:rsidRPr="00F53014" w:rsidRDefault="00C8425B" w:rsidP="00C8425B">
      <w:pPr>
        <w:numPr>
          <w:ilvl w:val="0"/>
          <w:numId w:val="15"/>
        </w:numPr>
        <w:rPr>
          <w:rFonts w:ascii="Trebuchet MS" w:hAnsi="Trebuchet MS"/>
          <w:sz w:val="22"/>
          <w:szCs w:val="22"/>
        </w:rPr>
      </w:pPr>
      <w:r w:rsidRPr="00F53014">
        <w:rPr>
          <w:rFonts w:ascii="Trebuchet MS" w:hAnsi="Trebuchet MS"/>
          <w:b/>
          <w:i/>
          <w:sz w:val="22"/>
          <w:szCs w:val="22"/>
        </w:rPr>
        <w:t xml:space="preserve">Each offsite activity </w:t>
      </w:r>
      <w:r w:rsidRPr="00F53014">
        <w:rPr>
          <w:rFonts w:ascii="Trebuchet MS" w:hAnsi="Trebuchet MS"/>
          <w:sz w:val="22"/>
          <w:szCs w:val="22"/>
        </w:rPr>
        <w:t xml:space="preserve">– each offsite activity </w:t>
      </w:r>
      <w:r>
        <w:rPr>
          <w:rFonts w:ascii="Trebuchet MS" w:hAnsi="Trebuchet MS"/>
          <w:sz w:val="22"/>
          <w:szCs w:val="22"/>
        </w:rPr>
        <w:t xml:space="preserve">is risk assessed using </w:t>
      </w:r>
      <w:r w:rsidRPr="00F53014">
        <w:rPr>
          <w:rFonts w:ascii="Trebuchet MS" w:hAnsi="Trebuchet MS"/>
          <w:sz w:val="22"/>
          <w:szCs w:val="22"/>
        </w:rPr>
        <w:t>Offsite Activity Risk Assessment, which includes a risk assessment of the travel arrangements to the activity.  This document is reviewed and agreed by all staff</w:t>
      </w:r>
    </w:p>
    <w:p w:rsidR="00C8425B" w:rsidRPr="00F53014" w:rsidRDefault="00C8425B" w:rsidP="00C8425B">
      <w:pPr>
        <w:numPr>
          <w:ilvl w:val="0"/>
          <w:numId w:val="15"/>
        </w:numPr>
        <w:rPr>
          <w:rFonts w:ascii="Trebuchet MS" w:hAnsi="Trebuchet MS"/>
          <w:sz w:val="22"/>
          <w:szCs w:val="22"/>
        </w:rPr>
      </w:pPr>
      <w:r w:rsidRPr="00F53014">
        <w:rPr>
          <w:rFonts w:ascii="Trebuchet MS" w:hAnsi="Trebuchet MS"/>
          <w:b/>
          <w:i/>
          <w:sz w:val="22"/>
          <w:szCs w:val="22"/>
        </w:rPr>
        <w:t xml:space="preserve">Premises </w:t>
      </w:r>
      <w:r w:rsidRPr="00F53014">
        <w:rPr>
          <w:rFonts w:ascii="Trebuchet MS" w:hAnsi="Trebuchet MS"/>
          <w:sz w:val="22"/>
          <w:szCs w:val="22"/>
        </w:rPr>
        <w:t xml:space="preserve">– </w:t>
      </w:r>
      <w:r>
        <w:rPr>
          <w:rFonts w:ascii="Trebuchet MS" w:hAnsi="Trebuchet MS"/>
          <w:sz w:val="22"/>
          <w:szCs w:val="22"/>
        </w:rPr>
        <w:t xml:space="preserve">School is managed </w:t>
      </w:r>
      <w:r w:rsidRPr="00F53014">
        <w:rPr>
          <w:rFonts w:ascii="Trebuchet MS" w:hAnsi="Trebuchet MS"/>
          <w:sz w:val="22"/>
          <w:szCs w:val="22"/>
        </w:rPr>
        <w:t xml:space="preserve">by a </w:t>
      </w:r>
      <w:r>
        <w:rPr>
          <w:rFonts w:ascii="Trebuchet MS" w:hAnsi="Trebuchet MS"/>
          <w:sz w:val="22"/>
          <w:szCs w:val="22"/>
        </w:rPr>
        <w:t>Head Teacher</w:t>
      </w:r>
      <w:r w:rsidRPr="00F53014">
        <w:rPr>
          <w:rFonts w:ascii="Trebuchet MS" w:hAnsi="Trebuchet MS"/>
          <w:sz w:val="22"/>
          <w:szCs w:val="22"/>
        </w:rPr>
        <w:t xml:space="preserve"> who is supported by </w:t>
      </w:r>
      <w:proofErr w:type="gramStart"/>
      <w:r w:rsidRPr="00F53014">
        <w:rPr>
          <w:rFonts w:ascii="Trebuchet MS" w:hAnsi="Trebuchet MS"/>
          <w:sz w:val="22"/>
          <w:szCs w:val="22"/>
        </w:rPr>
        <w:t>an</w:t>
      </w:r>
      <w:proofErr w:type="gramEnd"/>
      <w:r w:rsidRPr="00F53014">
        <w:rPr>
          <w:rFonts w:ascii="Trebuchet MS" w:hAnsi="Trebuchet MS"/>
          <w:sz w:val="22"/>
          <w:szCs w:val="22"/>
        </w:rPr>
        <w:t xml:space="preserve"> Health and Safety officer who is responsible for carrying our </w:t>
      </w:r>
      <w:r>
        <w:rPr>
          <w:rFonts w:ascii="Trebuchet MS" w:hAnsi="Trebuchet MS"/>
          <w:sz w:val="22"/>
          <w:szCs w:val="22"/>
        </w:rPr>
        <w:t xml:space="preserve">risk assessments using </w:t>
      </w:r>
      <w:r w:rsidRPr="00F53014">
        <w:rPr>
          <w:rFonts w:ascii="Trebuchet MS" w:hAnsi="Trebuchet MS"/>
          <w:sz w:val="22"/>
          <w:szCs w:val="22"/>
        </w:rPr>
        <w:t xml:space="preserve">Risk Assessment.  A Health and Safety report is provided by each officer for consideration of the Directors at every Director’s Meeting. </w:t>
      </w:r>
    </w:p>
    <w:p w:rsidR="00C8425B" w:rsidRPr="00F53014" w:rsidRDefault="00C8425B" w:rsidP="00C8425B">
      <w:pPr>
        <w:ind w:left="720"/>
        <w:rPr>
          <w:rFonts w:ascii="Trebuchet MS" w:hAnsi="Trebuchet MS"/>
          <w:sz w:val="22"/>
          <w:szCs w:val="22"/>
        </w:rPr>
      </w:pPr>
    </w:p>
    <w:p w:rsidR="00C8425B" w:rsidRPr="00F53014" w:rsidRDefault="00C8425B" w:rsidP="00C8425B">
      <w:pPr>
        <w:rPr>
          <w:rFonts w:ascii="Trebuchet MS" w:hAnsi="Trebuchet MS"/>
          <w:sz w:val="22"/>
          <w:szCs w:val="22"/>
        </w:rPr>
      </w:pPr>
      <w:r w:rsidRPr="00F53014">
        <w:rPr>
          <w:rFonts w:ascii="Trebuchet MS" w:hAnsi="Trebuchet MS"/>
          <w:sz w:val="22"/>
          <w:szCs w:val="22"/>
        </w:rPr>
        <w:t xml:space="preserve">If a high risk is identified in any </w:t>
      </w:r>
      <w:proofErr w:type="gramStart"/>
      <w:r w:rsidRPr="00F53014">
        <w:rPr>
          <w:rFonts w:ascii="Trebuchet MS" w:hAnsi="Trebuchet MS"/>
          <w:sz w:val="22"/>
          <w:szCs w:val="22"/>
        </w:rPr>
        <w:t>area</w:t>
      </w:r>
      <w:proofErr w:type="gramEnd"/>
      <w:r w:rsidRPr="00F53014">
        <w:rPr>
          <w:rFonts w:ascii="Trebuchet MS" w:hAnsi="Trebuchet MS"/>
          <w:sz w:val="22"/>
          <w:szCs w:val="22"/>
        </w:rPr>
        <w:t xml:space="preserve"> then action is taken to reduce the risk immediately or the activity is cancelled until additional control measures can be put in place.</w:t>
      </w:r>
    </w:p>
    <w:p w:rsidR="00C8425B" w:rsidRDefault="00C8425B" w:rsidP="00A034BB">
      <w:pPr>
        <w:rPr>
          <w:rFonts w:ascii="Arial" w:hAnsi="Arial" w:cs="Arial"/>
        </w:rPr>
      </w:pPr>
    </w:p>
    <w:p w:rsidR="00C8425B" w:rsidRPr="00C8425B" w:rsidRDefault="00C8425B" w:rsidP="00A034BB">
      <w:pPr>
        <w:rPr>
          <w:rFonts w:ascii="Arial" w:hAnsi="Arial" w:cs="Arial"/>
        </w:rPr>
      </w:pPr>
    </w:p>
    <w:p w:rsidR="00C8425B" w:rsidRDefault="00C8425B" w:rsidP="00E83961">
      <w:pPr>
        <w:rPr>
          <w:rFonts w:ascii="Arial" w:hAnsi="Arial" w:cs="Arial"/>
          <w:b/>
        </w:rPr>
      </w:pPr>
    </w:p>
    <w:p w:rsidR="00C8425B" w:rsidRDefault="00C8425B" w:rsidP="00E83961">
      <w:pPr>
        <w:rPr>
          <w:rFonts w:ascii="Arial" w:hAnsi="Arial" w:cs="Arial"/>
          <w:b/>
        </w:rPr>
      </w:pPr>
    </w:p>
    <w:p w:rsidR="00C8425B" w:rsidRDefault="00C8425B" w:rsidP="00E83961">
      <w:pPr>
        <w:rPr>
          <w:rFonts w:ascii="Arial" w:hAnsi="Arial" w:cs="Arial"/>
          <w:b/>
        </w:rPr>
      </w:pPr>
    </w:p>
    <w:p w:rsidR="00E83961" w:rsidRPr="00C8425B" w:rsidRDefault="00E83961" w:rsidP="00E83961">
      <w:pPr>
        <w:rPr>
          <w:rFonts w:ascii="Arial" w:hAnsi="Arial" w:cs="Arial"/>
          <w:b/>
        </w:rPr>
      </w:pPr>
      <w:r w:rsidRPr="00C8425B">
        <w:rPr>
          <w:rFonts w:ascii="Arial" w:hAnsi="Arial" w:cs="Arial"/>
          <w:b/>
        </w:rPr>
        <w:lastRenderedPageBreak/>
        <w:t>Equality Impact Statement</w:t>
      </w:r>
    </w:p>
    <w:p w:rsidR="00E83961" w:rsidRPr="00C8425B" w:rsidRDefault="00E83961" w:rsidP="00E83961">
      <w:pPr>
        <w:rPr>
          <w:rFonts w:ascii="Arial" w:hAnsi="Arial" w:cs="Arial"/>
        </w:rPr>
      </w:pPr>
    </w:p>
    <w:p w:rsidR="00E83961" w:rsidRPr="00C8425B" w:rsidRDefault="00E83961" w:rsidP="00E83961">
      <w:pPr>
        <w:rPr>
          <w:rFonts w:ascii="Arial" w:hAnsi="Arial" w:cs="Arial"/>
        </w:rPr>
      </w:pPr>
      <w:r w:rsidRPr="00C8425B">
        <w:rPr>
          <w:rFonts w:ascii="Arial" w:hAnsi="Arial" w:cs="Arial"/>
        </w:rPr>
        <w:t>All relevant persons are requ</w:t>
      </w:r>
      <w:r w:rsidR="00C8425B">
        <w:rPr>
          <w:rFonts w:ascii="Arial" w:hAnsi="Arial" w:cs="Arial"/>
        </w:rPr>
        <w:t xml:space="preserve">ired to comply with this policy </w:t>
      </w:r>
      <w:r w:rsidRPr="00C8425B">
        <w:rPr>
          <w:rFonts w:ascii="Arial" w:hAnsi="Arial" w:cs="Arial"/>
        </w:rPr>
        <w:t>and must demonstrate sensitivity and competence in relation to diversity in race, faith, age, gender, disability and sexual orientation. If you, or any other groups, believe you are disadvantaged by this policy please contact the Group Director for Education and Learning. Enhanced Children’s Services will then actively respond to the enquiry.</w:t>
      </w:r>
    </w:p>
    <w:p w:rsidR="000E7CCE" w:rsidRPr="00C8425B" w:rsidRDefault="000E7CCE" w:rsidP="000E7CCE">
      <w:pPr>
        <w:rPr>
          <w:rFonts w:ascii="Arial" w:hAnsi="Arial" w:cs="Arial"/>
          <w:color w:val="000000"/>
        </w:rPr>
      </w:pPr>
      <w:r w:rsidRPr="00C8425B">
        <w:rPr>
          <w:rFonts w:ascii="Arial" w:hAnsi="Arial" w:cs="Arial"/>
          <w:color w:val="000000"/>
        </w:rPr>
        <w:t> </w:t>
      </w:r>
    </w:p>
    <w:p w:rsidR="000E7CCE" w:rsidRPr="00C8425B" w:rsidRDefault="000E7CCE" w:rsidP="000E7CCE">
      <w:pPr>
        <w:rPr>
          <w:rFonts w:ascii="Arial" w:hAnsi="Arial" w:cs="Arial"/>
          <w:color w:val="000000"/>
        </w:rPr>
      </w:pPr>
      <w:r w:rsidRPr="00C8425B">
        <w:rPr>
          <w:rFonts w:ascii="Arial" w:hAnsi="Arial" w:cs="Arial"/>
          <w:color w:val="000000"/>
        </w:rPr>
        <w:t>This p</w:t>
      </w:r>
      <w:r w:rsidR="00065612">
        <w:rPr>
          <w:rFonts w:ascii="Arial" w:hAnsi="Arial" w:cs="Arial"/>
          <w:color w:val="000000"/>
        </w:rPr>
        <w:t>olicy is written by Neil Gage</w:t>
      </w:r>
      <w:r w:rsidRPr="00C8425B">
        <w:rPr>
          <w:rFonts w:ascii="Arial" w:hAnsi="Arial" w:cs="Arial"/>
          <w:color w:val="000000"/>
        </w:rPr>
        <w:t xml:space="preserve">                                   Date: </w:t>
      </w:r>
      <w:r w:rsidR="00900EAA">
        <w:rPr>
          <w:rFonts w:ascii="Arial" w:hAnsi="Arial" w:cs="Arial"/>
          <w:color w:val="000000"/>
        </w:rPr>
        <w:t>28/07/2020</w:t>
      </w:r>
    </w:p>
    <w:p w:rsidR="000E7CCE" w:rsidRPr="00C8425B" w:rsidRDefault="000E7CCE" w:rsidP="000E7CCE">
      <w:pPr>
        <w:rPr>
          <w:rFonts w:ascii="Arial" w:hAnsi="Arial" w:cs="Arial"/>
          <w:color w:val="000000"/>
        </w:rPr>
      </w:pPr>
    </w:p>
    <w:p w:rsidR="000E7CCE" w:rsidRPr="00C8425B" w:rsidRDefault="000E7CCE" w:rsidP="000E7CCE">
      <w:pPr>
        <w:rPr>
          <w:rFonts w:ascii="Arial" w:hAnsi="Arial" w:cs="Arial"/>
          <w:color w:val="000000"/>
        </w:rPr>
      </w:pPr>
      <w:r w:rsidRPr="00C8425B">
        <w:rPr>
          <w:rFonts w:ascii="Arial" w:hAnsi="Arial" w:cs="Arial"/>
          <w:color w:val="000000"/>
        </w:rPr>
        <w:t>Signed</w:t>
      </w:r>
    </w:p>
    <w:p w:rsidR="000E7CCE" w:rsidRPr="00C8425B" w:rsidRDefault="000E7CCE" w:rsidP="000E7CCE">
      <w:pPr>
        <w:rPr>
          <w:rFonts w:ascii="Arial" w:hAnsi="Arial" w:cs="Arial"/>
          <w:color w:val="000000"/>
        </w:rPr>
      </w:pPr>
    </w:p>
    <w:p w:rsidR="000E7CCE" w:rsidRPr="00C8425B" w:rsidRDefault="000E7CCE" w:rsidP="000E7CCE">
      <w:pPr>
        <w:rPr>
          <w:rFonts w:ascii="Arial" w:hAnsi="Arial" w:cs="Arial"/>
          <w:color w:val="000000"/>
        </w:rPr>
      </w:pPr>
    </w:p>
    <w:p w:rsidR="000E7CCE" w:rsidRPr="00C8425B" w:rsidRDefault="000E7CCE" w:rsidP="000E7CCE">
      <w:pPr>
        <w:rPr>
          <w:rFonts w:ascii="Arial" w:hAnsi="Arial" w:cs="Arial"/>
          <w:color w:val="000000"/>
        </w:rPr>
      </w:pPr>
      <w:r w:rsidRPr="00C8425B">
        <w:rPr>
          <w:rFonts w:ascii="Arial" w:hAnsi="Arial" w:cs="Arial"/>
          <w:color w:val="000000"/>
        </w:rPr>
        <w:t>This policy is quality assured by Jason Goddard, Group Director for Education and Learning.</w:t>
      </w:r>
    </w:p>
    <w:p w:rsidR="000E7CCE" w:rsidRPr="00C8425B" w:rsidRDefault="000E7CCE" w:rsidP="000E7CCE">
      <w:pPr>
        <w:rPr>
          <w:rFonts w:ascii="Arial" w:hAnsi="Arial" w:cs="Arial"/>
          <w:color w:val="000000"/>
        </w:rPr>
      </w:pPr>
      <w:r w:rsidRPr="00C8425B">
        <w:rPr>
          <w:rFonts w:ascii="Arial" w:hAnsi="Arial" w:cs="Arial"/>
          <w:noProof/>
          <w:lang w:val="en-GB" w:eastAsia="en-GB"/>
        </w:rPr>
        <w:drawing>
          <wp:anchor distT="0" distB="0" distL="114300" distR="114300" simplePos="0" relativeHeight="251659264" behindDoc="0" locked="0" layoutInCell="1" allowOverlap="1">
            <wp:simplePos x="0" y="0"/>
            <wp:positionH relativeFrom="column">
              <wp:posOffset>533400</wp:posOffset>
            </wp:positionH>
            <wp:positionV relativeFrom="paragraph">
              <wp:posOffset>154940</wp:posOffset>
            </wp:positionV>
            <wp:extent cx="1076325" cy="514350"/>
            <wp:effectExtent l="0" t="0" r="9525"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25B">
        <w:rPr>
          <w:rFonts w:ascii="Arial" w:hAnsi="Arial" w:cs="Arial"/>
          <w:color w:val="000000"/>
        </w:rPr>
        <w:t> </w:t>
      </w:r>
    </w:p>
    <w:p w:rsidR="000E7CCE" w:rsidRPr="00C8425B" w:rsidRDefault="000E7CCE" w:rsidP="000E7CCE">
      <w:pPr>
        <w:rPr>
          <w:rFonts w:ascii="Arial" w:hAnsi="Arial" w:cs="Arial"/>
          <w:color w:val="000000"/>
        </w:rPr>
      </w:pPr>
      <w:r w:rsidRPr="00C8425B">
        <w:rPr>
          <w:rFonts w:ascii="Arial" w:hAnsi="Arial" w:cs="Arial"/>
          <w:color w:val="000000"/>
        </w:rPr>
        <w:t>Signed:                                                                                Date: </w:t>
      </w:r>
      <w:r w:rsidR="00900EAA">
        <w:rPr>
          <w:rFonts w:ascii="Arial" w:hAnsi="Arial" w:cs="Arial"/>
          <w:color w:val="000000"/>
        </w:rPr>
        <w:t>28/07/2020</w:t>
      </w:r>
      <w:bookmarkStart w:id="0" w:name="_GoBack"/>
      <w:bookmarkEnd w:id="0"/>
    </w:p>
    <w:p w:rsidR="000E7CCE" w:rsidRPr="00C8425B" w:rsidRDefault="000E7CCE" w:rsidP="000E7CCE">
      <w:pPr>
        <w:rPr>
          <w:rFonts w:ascii="Arial" w:hAnsi="Arial" w:cs="Arial"/>
          <w:color w:val="000000"/>
        </w:rPr>
      </w:pPr>
      <w:r w:rsidRPr="00C8425B">
        <w:rPr>
          <w:rFonts w:ascii="Arial" w:hAnsi="Arial" w:cs="Arial"/>
          <w:color w:val="000000"/>
        </w:rPr>
        <w:t> </w:t>
      </w:r>
    </w:p>
    <w:p w:rsidR="000E7CCE" w:rsidRPr="00C8425B" w:rsidRDefault="000E7CCE" w:rsidP="000E7CCE">
      <w:pPr>
        <w:rPr>
          <w:rFonts w:ascii="Arial" w:hAnsi="Arial" w:cs="Arial"/>
          <w:color w:val="000000"/>
        </w:rPr>
      </w:pPr>
      <w:r w:rsidRPr="00C8425B">
        <w:rPr>
          <w:rFonts w:ascii="Arial" w:hAnsi="Arial" w:cs="Arial"/>
          <w:color w:val="000000"/>
        </w:rPr>
        <w:t> </w:t>
      </w:r>
    </w:p>
    <w:p w:rsidR="000E7CCE" w:rsidRPr="00C8425B" w:rsidRDefault="000E7CCE" w:rsidP="000E7CCE">
      <w:pPr>
        <w:rPr>
          <w:rFonts w:ascii="Arial" w:hAnsi="Arial" w:cs="Arial"/>
          <w:color w:val="000000"/>
        </w:rPr>
      </w:pPr>
    </w:p>
    <w:p w:rsidR="000E7CCE" w:rsidRPr="00C8425B" w:rsidRDefault="000E7CCE" w:rsidP="000E7CCE">
      <w:pPr>
        <w:rPr>
          <w:rFonts w:ascii="Arial" w:hAnsi="Arial" w:cs="Arial"/>
          <w:color w:val="000000"/>
        </w:rPr>
      </w:pPr>
      <w:r w:rsidRPr="00C8425B">
        <w:rPr>
          <w:rFonts w:ascii="Arial" w:hAnsi="Arial" w:cs="Arial"/>
          <w:color w:val="000000"/>
        </w:rPr>
        <w:t>The policy is quality assured by Governor:</w:t>
      </w:r>
    </w:p>
    <w:p w:rsidR="000E7CCE" w:rsidRPr="00C8425B" w:rsidRDefault="000E7CCE" w:rsidP="00472FAB">
      <w:pPr>
        <w:tabs>
          <w:tab w:val="left" w:pos="1740"/>
        </w:tabs>
        <w:rPr>
          <w:rFonts w:ascii="Arial" w:hAnsi="Arial" w:cs="Arial"/>
        </w:rPr>
      </w:pPr>
    </w:p>
    <w:sectPr w:rsidR="000E7CCE" w:rsidRPr="00C8425B" w:rsidSect="004A2EE5">
      <w:headerReference w:type="default" r:id="rId8"/>
      <w:pgSz w:w="12240" w:h="15840"/>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47" w:rsidRDefault="00917047">
      <w:r>
        <w:separator/>
      </w:r>
    </w:p>
  </w:endnote>
  <w:endnote w:type="continuationSeparator" w:id="0">
    <w:p w:rsidR="00917047" w:rsidRDefault="0091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47" w:rsidRDefault="00917047">
      <w:r>
        <w:separator/>
      </w:r>
    </w:p>
  </w:footnote>
  <w:footnote w:type="continuationSeparator" w:id="0">
    <w:p w:rsidR="00917047" w:rsidRDefault="009170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5B" w:rsidRDefault="00511DDA" w:rsidP="00472FAB">
    <w:pPr>
      <w:tabs>
        <w:tab w:val="left" w:pos="8394"/>
      </w:tabs>
      <w:rPr>
        <w:rFonts w:ascii="Arial" w:hAnsi="Arial" w:cs="Arial"/>
        <w:b/>
        <w:bCs/>
        <w:sz w:val="40"/>
        <w:szCs w:val="40"/>
        <w:lang w:val="en-GB"/>
      </w:rPr>
    </w:pPr>
    <w:bookmarkStart w:id="1" w:name="_Hlk492024895"/>
    <w:r>
      <w:rPr>
        <w:rFonts w:ascii="Arial" w:hAnsi="Arial" w:cs="Arial"/>
        <w:b/>
        <w:bCs/>
        <w:noProof/>
        <w:sz w:val="40"/>
        <w:szCs w:val="40"/>
        <w:lang w:val="en-GB" w:eastAsia="en-GB"/>
      </w:rPr>
      <w:drawing>
        <wp:anchor distT="0" distB="0" distL="114300" distR="114300" simplePos="0" relativeHeight="251658240" behindDoc="1" locked="0" layoutInCell="1" allowOverlap="1">
          <wp:simplePos x="0" y="0"/>
          <wp:positionH relativeFrom="column">
            <wp:posOffset>5166360</wp:posOffset>
          </wp:positionH>
          <wp:positionV relativeFrom="paragraph">
            <wp:posOffset>-230505</wp:posOffset>
          </wp:positionV>
          <wp:extent cx="1660525" cy="782320"/>
          <wp:effectExtent l="0" t="0" r="0" b="0"/>
          <wp:wrapNone/>
          <wp:docPr id="1" name="Picture 1" desc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580">
      <w:rPr>
        <w:rFonts w:ascii="Arial" w:hAnsi="Arial" w:cs="Arial"/>
        <w:b/>
        <w:bCs/>
        <w:sz w:val="40"/>
        <w:szCs w:val="40"/>
        <w:lang w:val="en-GB"/>
      </w:rPr>
      <w:t xml:space="preserve">Wessex Lodge School/ </w:t>
    </w:r>
    <w:proofErr w:type="spellStart"/>
    <w:r w:rsidR="00182580">
      <w:rPr>
        <w:rFonts w:ascii="Arial" w:hAnsi="Arial" w:cs="Arial"/>
        <w:b/>
        <w:bCs/>
        <w:sz w:val="40"/>
        <w:szCs w:val="40"/>
        <w:lang w:val="en-GB"/>
      </w:rPr>
      <w:t>Triskele</w:t>
    </w:r>
    <w:proofErr w:type="spellEnd"/>
    <w:r w:rsidR="00182580">
      <w:rPr>
        <w:rFonts w:ascii="Arial" w:hAnsi="Arial" w:cs="Arial"/>
        <w:b/>
        <w:bCs/>
        <w:sz w:val="40"/>
        <w:szCs w:val="40"/>
        <w:lang w:val="en-GB"/>
      </w:rPr>
      <w:t xml:space="preserve"> Farm</w:t>
    </w:r>
  </w:p>
  <w:p w:rsidR="004A2EE5" w:rsidRPr="00D217E1" w:rsidRDefault="00C8425B" w:rsidP="00C8425B">
    <w:pPr>
      <w:tabs>
        <w:tab w:val="left" w:pos="8394"/>
      </w:tabs>
      <w:rPr>
        <w:rFonts w:ascii="Arial" w:hAnsi="Arial" w:cs="Arial"/>
        <w:b/>
        <w:sz w:val="40"/>
        <w:szCs w:val="40"/>
        <w:lang w:val="en-GB" w:eastAsia="en-GB"/>
      </w:rPr>
    </w:pPr>
    <w:r>
      <w:rPr>
        <w:rFonts w:ascii="Arial" w:hAnsi="Arial" w:cs="Arial"/>
        <w:b/>
        <w:bCs/>
        <w:sz w:val="40"/>
        <w:szCs w:val="40"/>
        <w:lang w:val="en-GB"/>
      </w:rPr>
      <w:t>Risk Management</w:t>
    </w:r>
    <w:bookmarkEnd w:id="1"/>
    <w:r>
      <w:rPr>
        <w:rFonts w:ascii="Arial" w:hAnsi="Arial" w:cs="Arial"/>
        <w:b/>
        <w:bCs/>
        <w:sz w:val="40"/>
        <w:szCs w:val="40"/>
        <w:lang w:val="en-GB"/>
      </w:rPr>
      <w:t xml:space="preserve"> Policy</w:t>
    </w:r>
  </w:p>
  <w:p w:rsidR="00657750" w:rsidRDefault="006577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6006"/>
    <w:multiLevelType w:val="hybridMultilevel"/>
    <w:tmpl w:val="3D0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E6860"/>
    <w:multiLevelType w:val="hybridMultilevel"/>
    <w:tmpl w:val="0614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37EFF"/>
    <w:multiLevelType w:val="hybridMultilevel"/>
    <w:tmpl w:val="BB26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032FE"/>
    <w:multiLevelType w:val="hybridMultilevel"/>
    <w:tmpl w:val="0BC2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F4421"/>
    <w:multiLevelType w:val="hybridMultilevel"/>
    <w:tmpl w:val="037E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C6943"/>
    <w:multiLevelType w:val="hybridMultilevel"/>
    <w:tmpl w:val="D5BE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33397"/>
    <w:multiLevelType w:val="hybridMultilevel"/>
    <w:tmpl w:val="ABA6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465DB"/>
    <w:multiLevelType w:val="hybridMultilevel"/>
    <w:tmpl w:val="7D44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B6DBC"/>
    <w:multiLevelType w:val="hybridMultilevel"/>
    <w:tmpl w:val="8DCC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75DA3"/>
    <w:multiLevelType w:val="hybridMultilevel"/>
    <w:tmpl w:val="09F6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478C0"/>
    <w:multiLevelType w:val="hybridMultilevel"/>
    <w:tmpl w:val="8556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B02AA"/>
    <w:multiLevelType w:val="hybridMultilevel"/>
    <w:tmpl w:val="E33C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F2BC6"/>
    <w:multiLevelType w:val="hybridMultilevel"/>
    <w:tmpl w:val="1692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66FC5"/>
    <w:multiLevelType w:val="hybridMultilevel"/>
    <w:tmpl w:val="5C2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578EB"/>
    <w:multiLevelType w:val="hybridMultilevel"/>
    <w:tmpl w:val="4032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14"/>
  </w:num>
  <w:num w:numId="5">
    <w:abstractNumId w:val="9"/>
  </w:num>
  <w:num w:numId="6">
    <w:abstractNumId w:val="11"/>
  </w:num>
  <w:num w:numId="7">
    <w:abstractNumId w:val="10"/>
  </w:num>
  <w:num w:numId="8">
    <w:abstractNumId w:val="12"/>
  </w:num>
  <w:num w:numId="9">
    <w:abstractNumId w:val="6"/>
  </w:num>
  <w:num w:numId="10">
    <w:abstractNumId w:val="8"/>
  </w:num>
  <w:num w:numId="11">
    <w:abstractNumId w:val="1"/>
  </w:num>
  <w:num w:numId="12">
    <w:abstractNumId w:val="4"/>
  </w:num>
  <w:num w:numId="13">
    <w:abstractNumId w:val="2"/>
  </w:num>
  <w:num w:numId="14">
    <w:abstractNumId w:val="0"/>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69"/>
    <w:rsid w:val="0000170E"/>
    <w:rsid w:val="00004017"/>
    <w:rsid w:val="00006712"/>
    <w:rsid w:val="0001342A"/>
    <w:rsid w:val="000218BA"/>
    <w:rsid w:val="000240E7"/>
    <w:rsid w:val="00024459"/>
    <w:rsid w:val="000245BA"/>
    <w:rsid w:val="00026DC6"/>
    <w:rsid w:val="000364D8"/>
    <w:rsid w:val="00065612"/>
    <w:rsid w:val="000805D9"/>
    <w:rsid w:val="000A5045"/>
    <w:rsid w:val="000B7689"/>
    <w:rsid w:val="000C2123"/>
    <w:rsid w:val="000E7CCE"/>
    <w:rsid w:val="00131065"/>
    <w:rsid w:val="00132935"/>
    <w:rsid w:val="00141B2F"/>
    <w:rsid w:val="0017189D"/>
    <w:rsid w:val="001768C4"/>
    <w:rsid w:val="00180CA8"/>
    <w:rsid w:val="001817CD"/>
    <w:rsid w:val="00182580"/>
    <w:rsid w:val="001842C3"/>
    <w:rsid w:val="001846A4"/>
    <w:rsid w:val="001923DE"/>
    <w:rsid w:val="001E6B13"/>
    <w:rsid w:val="001F4DD9"/>
    <w:rsid w:val="001F7BA9"/>
    <w:rsid w:val="0020189B"/>
    <w:rsid w:val="002106BB"/>
    <w:rsid w:val="00222E27"/>
    <w:rsid w:val="00232ECD"/>
    <w:rsid w:val="0024211E"/>
    <w:rsid w:val="00250F32"/>
    <w:rsid w:val="002A5EFB"/>
    <w:rsid w:val="002B2EAE"/>
    <w:rsid w:val="002C0444"/>
    <w:rsid w:val="002D3B32"/>
    <w:rsid w:val="003224DE"/>
    <w:rsid w:val="00342E98"/>
    <w:rsid w:val="00361740"/>
    <w:rsid w:val="00380020"/>
    <w:rsid w:val="003870B3"/>
    <w:rsid w:val="003906D1"/>
    <w:rsid w:val="00390E01"/>
    <w:rsid w:val="00391334"/>
    <w:rsid w:val="003B113C"/>
    <w:rsid w:val="003C5F20"/>
    <w:rsid w:val="003F6BEA"/>
    <w:rsid w:val="00401B8D"/>
    <w:rsid w:val="00405A59"/>
    <w:rsid w:val="004139D6"/>
    <w:rsid w:val="004237C3"/>
    <w:rsid w:val="00425E04"/>
    <w:rsid w:val="00441C44"/>
    <w:rsid w:val="00447319"/>
    <w:rsid w:val="00470F8A"/>
    <w:rsid w:val="00472FAB"/>
    <w:rsid w:val="004800B1"/>
    <w:rsid w:val="004A2EE5"/>
    <w:rsid w:val="004A3124"/>
    <w:rsid w:val="004A34DC"/>
    <w:rsid w:val="004D5D47"/>
    <w:rsid w:val="004D70D0"/>
    <w:rsid w:val="004E57F2"/>
    <w:rsid w:val="004E69D0"/>
    <w:rsid w:val="004E7867"/>
    <w:rsid w:val="00500EA9"/>
    <w:rsid w:val="00511DDA"/>
    <w:rsid w:val="00541C04"/>
    <w:rsid w:val="00561B16"/>
    <w:rsid w:val="0056388B"/>
    <w:rsid w:val="00565C2C"/>
    <w:rsid w:val="00571F65"/>
    <w:rsid w:val="00585A6C"/>
    <w:rsid w:val="005A08E9"/>
    <w:rsid w:val="005A4203"/>
    <w:rsid w:val="005B1646"/>
    <w:rsid w:val="005C1D62"/>
    <w:rsid w:val="005C4922"/>
    <w:rsid w:val="005C68BE"/>
    <w:rsid w:val="005D1FE8"/>
    <w:rsid w:val="00645C21"/>
    <w:rsid w:val="00647EEE"/>
    <w:rsid w:val="00657750"/>
    <w:rsid w:val="006928BC"/>
    <w:rsid w:val="006A17DF"/>
    <w:rsid w:val="006B42A0"/>
    <w:rsid w:val="006D5C7B"/>
    <w:rsid w:val="006F7489"/>
    <w:rsid w:val="00723D70"/>
    <w:rsid w:val="00735858"/>
    <w:rsid w:val="00754968"/>
    <w:rsid w:val="007575B7"/>
    <w:rsid w:val="00764C0D"/>
    <w:rsid w:val="00787664"/>
    <w:rsid w:val="007C4D68"/>
    <w:rsid w:val="00800251"/>
    <w:rsid w:val="0080489D"/>
    <w:rsid w:val="00820BBC"/>
    <w:rsid w:val="00827F5E"/>
    <w:rsid w:val="00871773"/>
    <w:rsid w:val="00882D2C"/>
    <w:rsid w:val="008832E1"/>
    <w:rsid w:val="00885B25"/>
    <w:rsid w:val="0088676D"/>
    <w:rsid w:val="008A1F14"/>
    <w:rsid w:val="008D611E"/>
    <w:rsid w:val="008F0389"/>
    <w:rsid w:val="00900EAA"/>
    <w:rsid w:val="00917047"/>
    <w:rsid w:val="00922844"/>
    <w:rsid w:val="009266A3"/>
    <w:rsid w:val="00965079"/>
    <w:rsid w:val="00972CD1"/>
    <w:rsid w:val="00982924"/>
    <w:rsid w:val="00987F60"/>
    <w:rsid w:val="0099164C"/>
    <w:rsid w:val="00992DC0"/>
    <w:rsid w:val="009953C1"/>
    <w:rsid w:val="009C2E7D"/>
    <w:rsid w:val="009C3474"/>
    <w:rsid w:val="009C5F86"/>
    <w:rsid w:val="009D6688"/>
    <w:rsid w:val="00A034BB"/>
    <w:rsid w:val="00A06538"/>
    <w:rsid w:val="00A12BDF"/>
    <w:rsid w:val="00A13683"/>
    <w:rsid w:val="00A553F5"/>
    <w:rsid w:val="00A76A28"/>
    <w:rsid w:val="00A77123"/>
    <w:rsid w:val="00AB4398"/>
    <w:rsid w:val="00AD1B84"/>
    <w:rsid w:val="00AE26E8"/>
    <w:rsid w:val="00AF5063"/>
    <w:rsid w:val="00B11AD6"/>
    <w:rsid w:val="00B352AE"/>
    <w:rsid w:val="00B43742"/>
    <w:rsid w:val="00B644BB"/>
    <w:rsid w:val="00B7315B"/>
    <w:rsid w:val="00B86F1B"/>
    <w:rsid w:val="00BB0F7B"/>
    <w:rsid w:val="00BC3D9C"/>
    <w:rsid w:val="00BD53D9"/>
    <w:rsid w:val="00BF0CB0"/>
    <w:rsid w:val="00C07DD6"/>
    <w:rsid w:val="00C4401B"/>
    <w:rsid w:val="00C50C5C"/>
    <w:rsid w:val="00C66882"/>
    <w:rsid w:val="00C71D2B"/>
    <w:rsid w:val="00C81ED3"/>
    <w:rsid w:val="00C8297E"/>
    <w:rsid w:val="00C8425B"/>
    <w:rsid w:val="00C8592C"/>
    <w:rsid w:val="00CA25D7"/>
    <w:rsid w:val="00CD5D65"/>
    <w:rsid w:val="00CE6C9F"/>
    <w:rsid w:val="00CF6869"/>
    <w:rsid w:val="00D0450E"/>
    <w:rsid w:val="00D217E1"/>
    <w:rsid w:val="00D22C5C"/>
    <w:rsid w:val="00D2766C"/>
    <w:rsid w:val="00D4403E"/>
    <w:rsid w:val="00D44B8E"/>
    <w:rsid w:val="00D574DF"/>
    <w:rsid w:val="00D578FB"/>
    <w:rsid w:val="00D7201C"/>
    <w:rsid w:val="00D7591A"/>
    <w:rsid w:val="00D82844"/>
    <w:rsid w:val="00D93A7B"/>
    <w:rsid w:val="00D95407"/>
    <w:rsid w:val="00DA1606"/>
    <w:rsid w:val="00DA6B7E"/>
    <w:rsid w:val="00DB74CC"/>
    <w:rsid w:val="00DD16E9"/>
    <w:rsid w:val="00DD7004"/>
    <w:rsid w:val="00E017CB"/>
    <w:rsid w:val="00E03CA2"/>
    <w:rsid w:val="00E100E6"/>
    <w:rsid w:val="00E3444D"/>
    <w:rsid w:val="00E36226"/>
    <w:rsid w:val="00E5744D"/>
    <w:rsid w:val="00E638C2"/>
    <w:rsid w:val="00E639BF"/>
    <w:rsid w:val="00E75134"/>
    <w:rsid w:val="00E83961"/>
    <w:rsid w:val="00EB2C46"/>
    <w:rsid w:val="00EC779F"/>
    <w:rsid w:val="00F163F7"/>
    <w:rsid w:val="00F163FF"/>
    <w:rsid w:val="00F63C3B"/>
    <w:rsid w:val="00F77119"/>
    <w:rsid w:val="00F811B1"/>
    <w:rsid w:val="00FA4588"/>
    <w:rsid w:val="00FC6089"/>
    <w:rsid w:val="00FD12FA"/>
    <w:rsid w:val="00FE1AE5"/>
    <w:rsid w:val="00FE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19B463"/>
  <w15:docId w15:val="{640D06F3-0C3B-44F6-822E-4FCB430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9Char">
    <w:name w:val="Heading 9 Char"/>
    <w:link w:val="Heading9"/>
    <w:uiPriority w:val="9"/>
    <w:semiHidden/>
    <w:rsid w:val="0080489D"/>
    <w:rPr>
      <w:rFonts w:ascii="Cambria" w:eastAsia="Times New Roman" w:hAnsi="Cambria" w:cs="Times New Roman"/>
      <w:sz w:val="22"/>
      <w:szCs w:val="22"/>
      <w:lang w:val="en-US" w:eastAsia="en-US"/>
    </w:rPr>
  </w:style>
  <w:style w:type="paragraph" w:customStyle="1" w:styleId="1AutoList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customStyle="1" w:styleId="Quick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rsid w:val="0008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customStyle="1" w:styleId="BalloonTextChar">
    <w:name w:val="Balloon Text Char"/>
    <w:link w:val="BalloonText"/>
    <w:uiPriority w:val="99"/>
    <w:semiHidden/>
    <w:rsid w:val="00B352AE"/>
    <w:rPr>
      <w:rFonts w:ascii="Tahoma" w:hAnsi="Tahoma" w:cs="Tahoma"/>
      <w:sz w:val="16"/>
      <w:szCs w:val="16"/>
      <w:lang w:val="en-US" w:eastAsia="en-US"/>
    </w:rPr>
  </w:style>
  <w:style w:type="character" w:customStyle="1" w:styleId="Heading8Char">
    <w:name w:val="Heading 8 Char"/>
    <w:link w:val="Heading8"/>
    <w:uiPriority w:val="9"/>
    <w:semiHidden/>
    <w:rsid w:val="001F4DD9"/>
    <w:rPr>
      <w:rFonts w:ascii="Calibri" w:eastAsia="Times New Roman" w:hAnsi="Calibri"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customStyle="1" w:styleId="BodyTextChar">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customStyle="1" w:styleId="BodyTextIndentChar">
    <w:name w:val="Body Text Indent Char"/>
    <w:link w:val="BodyTextIndent"/>
    <w:rsid w:val="001F4DD9"/>
    <w:rPr>
      <w:rFonts w:ascii="Arial" w:hAnsi="Arial" w:cs="Arial"/>
      <w:szCs w:val="24"/>
      <w:lang w:eastAsia="en-US"/>
    </w:rPr>
  </w:style>
  <w:style w:type="character" w:customStyle="1" w:styleId="Heading2Char">
    <w:name w:val="Heading 2 Char"/>
    <w:link w:val="Heading2"/>
    <w:uiPriority w:val="9"/>
    <w:semiHidden/>
    <w:rsid w:val="000218BA"/>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218BA"/>
    <w:rPr>
      <w:rFonts w:ascii="Cambria" w:eastAsia="Times New Roman" w:hAnsi="Cambria" w:cs="Times New Roman"/>
      <w:b/>
      <w:bCs/>
      <w:sz w:val="26"/>
      <w:szCs w:val="26"/>
      <w:lang w:val="en-US" w:eastAsia="en-US"/>
    </w:rPr>
  </w:style>
  <w:style w:type="character" w:customStyle="1" w:styleId="apple-converted-space">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customStyle="1" w:styleId="Default">
    <w:name w:val="Default"/>
    <w:rsid w:val="0047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Group</vt:lpstr>
    </vt:vector>
  </TitlesOfParts>
  <Company>European Wellcare</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Jennie</dc:creator>
  <cp:lastModifiedBy>Neil Gage</cp:lastModifiedBy>
  <cp:revision>11</cp:revision>
  <cp:lastPrinted>2020-07-28T10:48:00Z</cp:lastPrinted>
  <dcterms:created xsi:type="dcterms:W3CDTF">2017-11-07T12:53:00Z</dcterms:created>
  <dcterms:modified xsi:type="dcterms:W3CDTF">2020-07-28T10:48:00Z</dcterms:modified>
</cp:coreProperties>
</file>