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984"/>
        <w:gridCol w:w="2897"/>
      </w:tblGrid>
      <w:tr w:rsidR="004F67D0" w:rsidRPr="00140BA2" w:rsidTr="00CF13B0">
        <w:tc>
          <w:tcPr>
            <w:tcW w:w="2410" w:type="dxa"/>
            <w:shd w:val="clear" w:color="auto" w:fill="auto"/>
          </w:tcPr>
          <w:p w:rsidR="004F67D0" w:rsidRPr="00140BA2" w:rsidRDefault="004F67D0" w:rsidP="00CF13B0">
            <w:pPr>
              <w:rPr>
                <w:rFonts w:ascii="Arial" w:hAnsi="Arial" w:cs="Arial"/>
              </w:rPr>
            </w:pPr>
            <w:r w:rsidRPr="00140BA2">
              <w:rPr>
                <w:rFonts w:ascii="Arial" w:hAnsi="Arial" w:cs="Arial"/>
              </w:rPr>
              <w:t>Policy Number:</w:t>
            </w:r>
          </w:p>
        </w:tc>
        <w:tc>
          <w:tcPr>
            <w:tcW w:w="1984" w:type="dxa"/>
          </w:tcPr>
          <w:p w:rsidR="004F67D0" w:rsidRPr="00140BA2" w:rsidRDefault="004F67D0" w:rsidP="00CF13B0">
            <w:pPr>
              <w:rPr>
                <w:rFonts w:ascii="Arial" w:hAnsi="Arial" w:cs="Arial"/>
              </w:rPr>
            </w:pPr>
            <w:r>
              <w:rPr>
                <w:rFonts w:ascii="Arial" w:hAnsi="Arial" w:cs="Arial"/>
              </w:rPr>
              <w:t>SU05</w:t>
            </w:r>
            <w:r w:rsidRPr="00140BA2">
              <w:rPr>
                <w:rFonts w:ascii="Arial" w:hAnsi="Arial" w:cs="Arial"/>
              </w:rPr>
              <w:tab/>
            </w:r>
          </w:p>
        </w:tc>
        <w:tc>
          <w:tcPr>
            <w:tcW w:w="1984" w:type="dxa"/>
            <w:shd w:val="clear" w:color="auto" w:fill="auto"/>
          </w:tcPr>
          <w:p w:rsidR="004F67D0" w:rsidRPr="00140BA2" w:rsidRDefault="004F67D0" w:rsidP="00CF13B0">
            <w:pPr>
              <w:rPr>
                <w:rFonts w:ascii="Arial" w:hAnsi="Arial" w:cs="Arial"/>
              </w:rPr>
            </w:pPr>
            <w:r w:rsidRPr="00140BA2">
              <w:rPr>
                <w:rFonts w:ascii="Arial" w:hAnsi="Arial" w:cs="Arial"/>
              </w:rPr>
              <w:t>Originator:</w:t>
            </w:r>
          </w:p>
        </w:tc>
        <w:tc>
          <w:tcPr>
            <w:tcW w:w="2897" w:type="dxa"/>
            <w:shd w:val="clear" w:color="auto" w:fill="auto"/>
          </w:tcPr>
          <w:p w:rsidR="004F67D0" w:rsidRPr="00140BA2" w:rsidRDefault="004F67D0" w:rsidP="00CF13B0">
            <w:pPr>
              <w:rPr>
                <w:rFonts w:ascii="Arial" w:hAnsi="Arial" w:cs="Arial"/>
              </w:rPr>
            </w:pPr>
            <w:r>
              <w:rPr>
                <w:rFonts w:ascii="Arial" w:hAnsi="Arial" w:cs="Arial"/>
              </w:rPr>
              <w:t>Neil Gage</w:t>
            </w:r>
          </w:p>
        </w:tc>
      </w:tr>
      <w:tr w:rsidR="004F67D0" w:rsidRPr="00140BA2" w:rsidTr="00CF13B0">
        <w:tc>
          <w:tcPr>
            <w:tcW w:w="2410" w:type="dxa"/>
            <w:shd w:val="clear" w:color="auto" w:fill="auto"/>
          </w:tcPr>
          <w:p w:rsidR="004F67D0" w:rsidRPr="00140BA2" w:rsidRDefault="004F67D0" w:rsidP="00CF13B0">
            <w:pPr>
              <w:rPr>
                <w:rFonts w:ascii="Arial" w:hAnsi="Arial" w:cs="Arial"/>
              </w:rPr>
            </w:pPr>
            <w:r w:rsidRPr="00140BA2">
              <w:rPr>
                <w:rFonts w:ascii="Arial" w:hAnsi="Arial" w:cs="Arial"/>
              </w:rPr>
              <w:t>Issue Number:</w:t>
            </w:r>
          </w:p>
        </w:tc>
        <w:tc>
          <w:tcPr>
            <w:tcW w:w="1984" w:type="dxa"/>
          </w:tcPr>
          <w:p w:rsidR="004F67D0" w:rsidRPr="00140BA2" w:rsidRDefault="004F67D0" w:rsidP="00CF13B0">
            <w:pPr>
              <w:rPr>
                <w:rFonts w:ascii="Arial" w:hAnsi="Arial" w:cs="Arial"/>
              </w:rPr>
            </w:pPr>
            <w:r>
              <w:rPr>
                <w:rFonts w:ascii="Arial" w:hAnsi="Arial" w:cs="Arial"/>
              </w:rPr>
              <w:t>2</w:t>
            </w:r>
          </w:p>
        </w:tc>
        <w:tc>
          <w:tcPr>
            <w:tcW w:w="1984" w:type="dxa"/>
            <w:shd w:val="clear" w:color="auto" w:fill="auto"/>
          </w:tcPr>
          <w:p w:rsidR="004F67D0" w:rsidRPr="00140BA2" w:rsidRDefault="004F67D0" w:rsidP="00CF13B0">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Pr>
          <w:p w:rsidR="004F67D0" w:rsidRPr="00140BA2" w:rsidRDefault="004F67D0" w:rsidP="00CF13B0">
            <w:pPr>
              <w:rPr>
                <w:rFonts w:ascii="Arial" w:hAnsi="Arial" w:cs="Arial"/>
              </w:rPr>
            </w:pPr>
            <w:r w:rsidRPr="00140BA2">
              <w:rPr>
                <w:rFonts w:ascii="Arial" w:hAnsi="Arial" w:cs="Arial"/>
              </w:rPr>
              <w:t>Jason Goddard</w:t>
            </w:r>
          </w:p>
        </w:tc>
      </w:tr>
      <w:tr w:rsidR="004F67D0" w:rsidRPr="00140BA2" w:rsidTr="00CF13B0">
        <w:tc>
          <w:tcPr>
            <w:tcW w:w="2410" w:type="dxa"/>
            <w:shd w:val="clear" w:color="auto" w:fill="auto"/>
          </w:tcPr>
          <w:p w:rsidR="004F67D0" w:rsidRPr="00140BA2" w:rsidRDefault="004F67D0" w:rsidP="00CF13B0">
            <w:pPr>
              <w:rPr>
                <w:rFonts w:ascii="Arial" w:hAnsi="Arial" w:cs="Arial"/>
              </w:rPr>
            </w:pPr>
            <w:r w:rsidRPr="00140BA2">
              <w:rPr>
                <w:rFonts w:ascii="Arial" w:hAnsi="Arial" w:cs="Arial"/>
              </w:rPr>
              <w:t>Issue Date:</w:t>
            </w:r>
          </w:p>
        </w:tc>
        <w:tc>
          <w:tcPr>
            <w:tcW w:w="1984" w:type="dxa"/>
          </w:tcPr>
          <w:p w:rsidR="004F67D0" w:rsidRPr="00140BA2" w:rsidRDefault="004F67D0" w:rsidP="00CF13B0">
            <w:pPr>
              <w:rPr>
                <w:rFonts w:ascii="Arial" w:hAnsi="Arial" w:cs="Arial"/>
              </w:rPr>
            </w:pPr>
            <w:r>
              <w:rPr>
                <w:rFonts w:ascii="Arial" w:hAnsi="Arial" w:cs="Arial"/>
              </w:rPr>
              <w:t>28/07/2020</w:t>
            </w:r>
          </w:p>
        </w:tc>
        <w:tc>
          <w:tcPr>
            <w:tcW w:w="1984" w:type="dxa"/>
            <w:shd w:val="clear" w:color="auto" w:fill="auto"/>
          </w:tcPr>
          <w:p w:rsidR="004F67D0" w:rsidRPr="00140BA2" w:rsidRDefault="004F67D0" w:rsidP="00CF13B0">
            <w:pPr>
              <w:rPr>
                <w:rFonts w:ascii="Arial" w:hAnsi="Arial" w:cs="Arial"/>
              </w:rPr>
            </w:pPr>
            <w:r w:rsidRPr="00140BA2">
              <w:rPr>
                <w:rFonts w:ascii="Arial" w:hAnsi="Arial" w:cs="Arial"/>
              </w:rPr>
              <w:t>Service Type:</w:t>
            </w:r>
          </w:p>
        </w:tc>
        <w:tc>
          <w:tcPr>
            <w:tcW w:w="2897" w:type="dxa"/>
            <w:shd w:val="clear" w:color="auto" w:fill="auto"/>
          </w:tcPr>
          <w:p w:rsidR="004F67D0" w:rsidRPr="00140BA2" w:rsidRDefault="004F67D0" w:rsidP="00CF13B0">
            <w:pPr>
              <w:rPr>
                <w:rFonts w:ascii="Arial" w:hAnsi="Arial" w:cs="Arial"/>
              </w:rPr>
            </w:pPr>
            <w:r w:rsidRPr="00140BA2">
              <w:rPr>
                <w:rFonts w:ascii="Arial" w:hAnsi="Arial" w:cs="Arial"/>
              </w:rPr>
              <w:t>Education</w:t>
            </w:r>
          </w:p>
        </w:tc>
      </w:tr>
      <w:tr w:rsidR="004F67D0" w:rsidRPr="00140BA2" w:rsidTr="00CF13B0">
        <w:tc>
          <w:tcPr>
            <w:tcW w:w="2410" w:type="dxa"/>
            <w:shd w:val="clear" w:color="auto" w:fill="auto"/>
          </w:tcPr>
          <w:p w:rsidR="004F67D0" w:rsidRPr="00140BA2" w:rsidRDefault="004F67D0" w:rsidP="00CF13B0">
            <w:pPr>
              <w:rPr>
                <w:rFonts w:ascii="Arial" w:hAnsi="Arial" w:cs="Arial"/>
              </w:rPr>
            </w:pPr>
            <w:r w:rsidRPr="00140BA2">
              <w:rPr>
                <w:rFonts w:ascii="Arial" w:hAnsi="Arial" w:cs="Arial"/>
              </w:rPr>
              <w:t>Next Review Due:</w:t>
            </w:r>
          </w:p>
        </w:tc>
        <w:tc>
          <w:tcPr>
            <w:tcW w:w="1984" w:type="dxa"/>
          </w:tcPr>
          <w:p w:rsidR="004F67D0" w:rsidRPr="00140BA2" w:rsidRDefault="004F67D0" w:rsidP="00CF13B0">
            <w:pPr>
              <w:rPr>
                <w:rFonts w:ascii="Arial" w:hAnsi="Arial" w:cs="Arial"/>
              </w:rPr>
            </w:pPr>
            <w:r>
              <w:rPr>
                <w:rFonts w:ascii="Arial" w:hAnsi="Arial" w:cs="Arial"/>
              </w:rPr>
              <w:t>01/08/2021</w:t>
            </w:r>
          </w:p>
        </w:tc>
        <w:tc>
          <w:tcPr>
            <w:tcW w:w="1984" w:type="dxa"/>
            <w:shd w:val="clear" w:color="auto" w:fill="auto"/>
          </w:tcPr>
          <w:p w:rsidR="004F67D0" w:rsidRPr="00140BA2" w:rsidRDefault="004F67D0" w:rsidP="00CF13B0">
            <w:pPr>
              <w:rPr>
                <w:rFonts w:ascii="Arial" w:hAnsi="Arial" w:cs="Arial"/>
              </w:rPr>
            </w:pPr>
            <w:r w:rsidRPr="00140BA2">
              <w:rPr>
                <w:rFonts w:ascii="Arial" w:hAnsi="Arial" w:cs="Arial"/>
              </w:rPr>
              <w:t>Policy Location:</w:t>
            </w:r>
          </w:p>
        </w:tc>
        <w:tc>
          <w:tcPr>
            <w:tcW w:w="2897" w:type="dxa"/>
            <w:shd w:val="clear" w:color="auto" w:fill="auto"/>
          </w:tcPr>
          <w:p w:rsidR="004F67D0" w:rsidRPr="00140BA2" w:rsidRDefault="004F67D0" w:rsidP="00CF13B0">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w:t>
            </w:r>
            <w:proofErr w:type="spellStart"/>
            <w:r>
              <w:rPr>
                <w:rFonts w:ascii="Arial" w:hAnsi="Arial" w:cs="Arial"/>
              </w:rPr>
              <w:t>Farm</w:t>
            </w:r>
            <w:r w:rsidRPr="00140BA2">
              <w:rPr>
                <w:rFonts w:ascii="Arial" w:hAnsi="Arial" w:cs="Arial"/>
              </w:rPr>
              <w:t>Policy</w:t>
            </w:r>
            <w:proofErr w:type="spellEnd"/>
            <w:r w:rsidRPr="00140BA2">
              <w:rPr>
                <w:rFonts w:ascii="Arial" w:hAnsi="Arial" w:cs="Arial"/>
              </w:rPr>
              <w:t xml:space="preserve"> File</w:t>
            </w:r>
          </w:p>
        </w:tc>
      </w:tr>
    </w:tbl>
    <w:p w:rsidR="00A034BB" w:rsidRPr="0080468F" w:rsidRDefault="00A034BB" w:rsidP="00A034BB">
      <w:pPr>
        <w:rPr>
          <w:rFonts w:ascii="Arial" w:hAnsi="Arial" w:cs="Arial"/>
          <w:b/>
        </w:rPr>
      </w:pPr>
    </w:p>
    <w:p w:rsidR="00A034BB" w:rsidRPr="0080468F" w:rsidRDefault="00A034BB" w:rsidP="00A034BB">
      <w:pPr>
        <w:rPr>
          <w:rFonts w:ascii="Arial" w:hAnsi="Arial" w:cs="Arial"/>
        </w:rPr>
      </w:pPr>
    </w:p>
    <w:p w:rsidR="00A034BB" w:rsidRPr="0080468F" w:rsidRDefault="00A034BB" w:rsidP="00A034BB">
      <w:pPr>
        <w:rPr>
          <w:rFonts w:ascii="Arial" w:hAnsi="Arial" w:cs="Arial"/>
        </w:rPr>
      </w:pPr>
    </w:p>
    <w:p w:rsidR="0080468F" w:rsidRPr="0080468F" w:rsidRDefault="0080468F" w:rsidP="0080468F">
      <w:pPr>
        <w:tabs>
          <w:tab w:val="num" w:pos="1440"/>
        </w:tabs>
        <w:rPr>
          <w:rFonts w:ascii="Arial" w:hAnsi="Arial" w:cs="Arial"/>
          <w:b/>
          <w:bCs/>
          <w:lang w:bidi="en-US"/>
        </w:rPr>
      </w:pPr>
      <w:r w:rsidRPr="0080468F">
        <w:rPr>
          <w:rFonts w:ascii="Arial" w:hAnsi="Arial" w:cs="Arial"/>
          <w:b/>
          <w:bCs/>
          <w:lang w:bidi="en-US"/>
        </w:rPr>
        <w:t xml:space="preserve">1: Aim of the policy </w:t>
      </w:r>
    </w:p>
    <w:p w:rsidR="0080468F" w:rsidRPr="0080468F" w:rsidRDefault="0080468F" w:rsidP="0080468F">
      <w:pPr>
        <w:tabs>
          <w:tab w:val="num" w:pos="1440"/>
        </w:tabs>
        <w:rPr>
          <w:rFonts w:ascii="Arial" w:hAnsi="Arial" w:cs="Arial"/>
          <w:b/>
          <w:bCs/>
          <w:lang w:bidi="en-US"/>
        </w:rPr>
      </w:pPr>
    </w:p>
    <w:p w:rsidR="0080468F" w:rsidRPr="0080468F" w:rsidRDefault="0080468F" w:rsidP="0080468F">
      <w:pPr>
        <w:tabs>
          <w:tab w:val="num" w:pos="1440"/>
        </w:tabs>
        <w:rPr>
          <w:rFonts w:ascii="Arial" w:hAnsi="Arial" w:cs="Arial"/>
          <w:bCs/>
          <w:lang w:bidi="en-US"/>
        </w:rPr>
      </w:pPr>
      <w:r w:rsidRPr="0080468F">
        <w:rPr>
          <w:rFonts w:ascii="Arial" w:hAnsi="Arial" w:cs="Arial"/>
          <w:b/>
          <w:bCs/>
          <w:lang w:bidi="en-US"/>
        </w:rPr>
        <w:t>1.1</w:t>
      </w:r>
      <w:r w:rsidRPr="0080468F">
        <w:rPr>
          <w:rFonts w:ascii="Arial" w:hAnsi="Arial" w:cs="Arial"/>
          <w:bCs/>
          <w:lang w:bidi="en-US"/>
        </w:rPr>
        <w:t xml:space="preserve"> The aim of the policy is to outline the framework of careers information delivered at </w:t>
      </w:r>
      <w:r w:rsidR="003F290A">
        <w:rPr>
          <w:rFonts w:ascii="Arial" w:hAnsi="Arial" w:cs="Arial"/>
          <w:bCs/>
          <w:lang w:bidi="en-US"/>
        </w:rPr>
        <w:t>WLS/</w:t>
      </w:r>
      <w:proofErr w:type="spellStart"/>
      <w:r w:rsidR="003F290A">
        <w:rPr>
          <w:rFonts w:ascii="Arial" w:hAnsi="Arial" w:cs="Arial"/>
          <w:bCs/>
          <w:lang w:bidi="en-US"/>
        </w:rPr>
        <w:t>Triskele</w:t>
      </w:r>
      <w:proofErr w:type="spellEnd"/>
      <w:r w:rsidRPr="0080468F">
        <w:rPr>
          <w:rFonts w:ascii="Arial" w:hAnsi="Arial" w:cs="Arial"/>
          <w:bCs/>
          <w:lang w:bidi="en-US"/>
        </w:rPr>
        <w:t>.</w:t>
      </w:r>
    </w:p>
    <w:p w:rsidR="0080468F" w:rsidRPr="0080468F" w:rsidRDefault="0080468F" w:rsidP="0080468F">
      <w:pPr>
        <w:tabs>
          <w:tab w:val="right" w:pos="2742"/>
        </w:tabs>
        <w:ind w:right="425"/>
        <w:rPr>
          <w:rFonts w:ascii="Arial" w:hAnsi="Arial" w:cs="Arial"/>
          <w:b/>
        </w:rPr>
      </w:pPr>
    </w:p>
    <w:p w:rsidR="0080468F" w:rsidRPr="0080468F" w:rsidRDefault="0080468F" w:rsidP="0080468F">
      <w:pPr>
        <w:tabs>
          <w:tab w:val="right" w:pos="2742"/>
        </w:tabs>
        <w:ind w:right="425"/>
        <w:rPr>
          <w:rFonts w:ascii="Arial" w:hAnsi="Arial" w:cs="Arial"/>
          <w:b/>
          <w:bCs/>
          <w:lang w:bidi="en-US"/>
        </w:rPr>
      </w:pPr>
      <w:r w:rsidRPr="0080468F">
        <w:rPr>
          <w:rFonts w:ascii="Arial" w:hAnsi="Arial" w:cs="Arial"/>
          <w:b/>
          <w:bCs/>
          <w:lang w:bidi="en-US"/>
        </w:rPr>
        <w:t>2: Policy</w:t>
      </w:r>
    </w:p>
    <w:p w:rsidR="0080468F" w:rsidRPr="0080468F" w:rsidRDefault="0080468F" w:rsidP="0080468F">
      <w:pPr>
        <w:tabs>
          <w:tab w:val="right" w:pos="2742"/>
        </w:tabs>
        <w:ind w:right="425"/>
        <w:rPr>
          <w:rFonts w:ascii="Arial" w:hAnsi="Arial" w:cs="Arial"/>
          <w:b/>
        </w:rPr>
      </w:pPr>
    </w:p>
    <w:p w:rsidR="0080468F" w:rsidRPr="0080468F" w:rsidRDefault="0080468F" w:rsidP="0080468F">
      <w:pPr>
        <w:tabs>
          <w:tab w:val="right" w:pos="2742"/>
        </w:tabs>
        <w:ind w:right="425"/>
        <w:rPr>
          <w:rFonts w:ascii="Arial" w:hAnsi="Arial" w:cs="Arial"/>
          <w:b/>
        </w:rPr>
      </w:pPr>
      <w:r w:rsidRPr="0080468F">
        <w:rPr>
          <w:rFonts w:ascii="Arial" w:hAnsi="Arial" w:cs="Arial"/>
          <w:b/>
        </w:rPr>
        <w:t>2.1    Importance of guidance</w:t>
      </w:r>
    </w:p>
    <w:p w:rsidR="0080468F" w:rsidRPr="0080468F" w:rsidRDefault="0080468F" w:rsidP="0080468F">
      <w:pPr>
        <w:tabs>
          <w:tab w:val="right" w:pos="2742"/>
        </w:tabs>
        <w:ind w:right="425"/>
        <w:rPr>
          <w:rFonts w:ascii="Arial" w:hAnsi="Arial" w:cs="Arial"/>
          <w:b/>
        </w:rPr>
      </w:pPr>
    </w:p>
    <w:p w:rsidR="0080468F" w:rsidRPr="0080468F" w:rsidRDefault="0080468F" w:rsidP="0080468F">
      <w:pPr>
        <w:tabs>
          <w:tab w:val="right" w:pos="2742"/>
        </w:tabs>
        <w:ind w:right="425"/>
        <w:rPr>
          <w:rFonts w:ascii="Arial" w:hAnsi="Arial" w:cs="Arial"/>
        </w:rPr>
      </w:pPr>
      <w:r w:rsidRPr="0080468F">
        <w:rPr>
          <w:rFonts w:ascii="Arial" w:hAnsi="Arial" w:cs="Arial"/>
        </w:rPr>
        <w:t xml:space="preserve">Careers guidance makes a major contribution to preparing our students for the opportunities, responsibilities and experiences of life. There is a planned progressive </w:t>
      </w:r>
      <w:proofErr w:type="spellStart"/>
      <w:r w:rsidRPr="0080468F">
        <w:rPr>
          <w:rFonts w:ascii="Arial" w:hAnsi="Arial" w:cs="Arial"/>
        </w:rPr>
        <w:t>programme</w:t>
      </w:r>
      <w:proofErr w:type="spellEnd"/>
      <w:r w:rsidRPr="0080468F">
        <w:rPr>
          <w:rFonts w:ascii="Arial" w:hAnsi="Arial" w:cs="Arial"/>
        </w:rPr>
        <w:t xml:space="preserve"> of visits from Careers South West to support them in choosing 14-19 pathways that suit their interests and abilities and help them to follow a career and sustain employability throughout their working lives.</w:t>
      </w:r>
    </w:p>
    <w:p w:rsidR="0080468F" w:rsidRPr="0080468F" w:rsidRDefault="0080468F" w:rsidP="0080468F">
      <w:pPr>
        <w:tabs>
          <w:tab w:val="right" w:pos="2742"/>
        </w:tabs>
        <w:ind w:right="425"/>
        <w:rPr>
          <w:rFonts w:ascii="Arial" w:hAnsi="Arial" w:cs="Arial"/>
          <w:b/>
        </w:rPr>
      </w:pPr>
    </w:p>
    <w:p w:rsidR="0080468F" w:rsidRPr="0080468F" w:rsidRDefault="0080468F" w:rsidP="0080468F">
      <w:pPr>
        <w:tabs>
          <w:tab w:val="right" w:pos="2742"/>
        </w:tabs>
        <w:ind w:right="425"/>
        <w:rPr>
          <w:rFonts w:ascii="Arial" w:hAnsi="Arial" w:cs="Arial"/>
          <w:b/>
        </w:rPr>
      </w:pPr>
    </w:p>
    <w:p w:rsidR="0080468F" w:rsidRPr="0080468F" w:rsidRDefault="0080468F" w:rsidP="0080468F">
      <w:pPr>
        <w:tabs>
          <w:tab w:val="right" w:pos="2742"/>
        </w:tabs>
        <w:ind w:right="425"/>
        <w:rPr>
          <w:rFonts w:ascii="Arial" w:hAnsi="Arial" w:cs="Arial"/>
          <w:b/>
        </w:rPr>
      </w:pPr>
      <w:r w:rsidRPr="0080468F">
        <w:rPr>
          <w:rFonts w:ascii="Arial" w:hAnsi="Arial" w:cs="Arial"/>
          <w:b/>
        </w:rPr>
        <w:t>2.2      Sources of Advice</w:t>
      </w:r>
    </w:p>
    <w:p w:rsidR="0080468F" w:rsidRPr="0080468F" w:rsidRDefault="0080468F" w:rsidP="0080468F">
      <w:pPr>
        <w:tabs>
          <w:tab w:val="right" w:pos="2742"/>
        </w:tabs>
        <w:ind w:right="425"/>
        <w:rPr>
          <w:rFonts w:ascii="Arial" w:hAnsi="Arial" w:cs="Arial"/>
          <w:b/>
        </w:rPr>
      </w:pPr>
    </w:p>
    <w:p w:rsidR="0080468F" w:rsidRPr="0080468F" w:rsidRDefault="003F290A" w:rsidP="0080468F">
      <w:pPr>
        <w:tabs>
          <w:tab w:val="right" w:pos="2742"/>
        </w:tabs>
        <w:ind w:right="425"/>
        <w:rPr>
          <w:rFonts w:ascii="Arial" w:hAnsi="Arial" w:cs="Arial"/>
        </w:rPr>
      </w:pPr>
      <w:r>
        <w:rPr>
          <w:rFonts w:ascii="Arial" w:hAnsi="Arial" w:cs="Arial"/>
        </w:rPr>
        <w:t>WLS/</w:t>
      </w:r>
      <w:proofErr w:type="spellStart"/>
      <w:r>
        <w:rPr>
          <w:rFonts w:ascii="Arial" w:hAnsi="Arial" w:cs="Arial"/>
        </w:rPr>
        <w:t>Triskele</w:t>
      </w:r>
      <w:proofErr w:type="spellEnd"/>
      <w:r w:rsidR="0080468F" w:rsidRPr="0080468F">
        <w:rPr>
          <w:rFonts w:ascii="Arial" w:hAnsi="Arial" w:cs="Arial"/>
        </w:rPr>
        <w:t xml:space="preserve"> is committed to providing our students with regular visits from our local Special Edu</w:t>
      </w:r>
      <w:r w:rsidR="004F67D0">
        <w:rPr>
          <w:rFonts w:ascii="Arial" w:hAnsi="Arial" w:cs="Arial"/>
        </w:rPr>
        <w:t>cational Needs Careers Advisor</w:t>
      </w:r>
      <w:r w:rsidR="0080468F" w:rsidRPr="0080468F">
        <w:rPr>
          <w:rFonts w:ascii="Arial" w:hAnsi="Arial" w:cs="Arial"/>
        </w:rPr>
        <w:t xml:space="preserve">. These visits will take place at school twice a year at </w:t>
      </w:r>
      <w:r>
        <w:rPr>
          <w:rFonts w:ascii="Arial" w:hAnsi="Arial" w:cs="Arial"/>
        </w:rPr>
        <w:t>WLS/</w:t>
      </w:r>
      <w:proofErr w:type="spellStart"/>
      <w:r>
        <w:rPr>
          <w:rFonts w:ascii="Arial" w:hAnsi="Arial" w:cs="Arial"/>
        </w:rPr>
        <w:t>Triskele</w:t>
      </w:r>
      <w:proofErr w:type="spellEnd"/>
      <w:r w:rsidR="0080468F" w:rsidRPr="0080468F">
        <w:rPr>
          <w:rFonts w:ascii="Arial" w:hAnsi="Arial" w:cs="Arial"/>
        </w:rPr>
        <w:t xml:space="preserve"> for all students.  </w:t>
      </w:r>
    </w:p>
    <w:p w:rsidR="0080468F" w:rsidRPr="0080468F" w:rsidRDefault="0080468F" w:rsidP="0080468F">
      <w:pPr>
        <w:tabs>
          <w:tab w:val="right" w:pos="2742"/>
        </w:tabs>
        <w:ind w:right="425"/>
        <w:rPr>
          <w:rFonts w:ascii="Arial" w:hAnsi="Arial" w:cs="Arial"/>
        </w:rPr>
      </w:pPr>
    </w:p>
    <w:p w:rsidR="0080468F" w:rsidRPr="0080468F" w:rsidRDefault="004F67D0" w:rsidP="0080468F">
      <w:pPr>
        <w:tabs>
          <w:tab w:val="right" w:pos="2742"/>
        </w:tabs>
        <w:ind w:right="425"/>
        <w:rPr>
          <w:rFonts w:ascii="Arial" w:hAnsi="Arial" w:cs="Arial"/>
        </w:rPr>
      </w:pPr>
      <w:r>
        <w:rPr>
          <w:rFonts w:ascii="Arial" w:hAnsi="Arial" w:cs="Arial"/>
        </w:rPr>
        <w:t xml:space="preserve">Students may </w:t>
      </w:r>
      <w:r w:rsidR="0080468F" w:rsidRPr="0080468F">
        <w:rPr>
          <w:rFonts w:ascii="Arial" w:hAnsi="Arial" w:cs="Arial"/>
        </w:rPr>
        <w:t xml:space="preserve">receive additional careers advice from their placing authority Careers </w:t>
      </w:r>
      <w:proofErr w:type="gramStart"/>
      <w:r w:rsidR="0080468F" w:rsidRPr="0080468F">
        <w:rPr>
          <w:rFonts w:ascii="Arial" w:hAnsi="Arial" w:cs="Arial"/>
        </w:rPr>
        <w:t>advisor .</w:t>
      </w:r>
      <w:proofErr w:type="gramEnd"/>
      <w:r w:rsidR="0080468F">
        <w:rPr>
          <w:rFonts w:ascii="Arial" w:hAnsi="Arial" w:cs="Arial"/>
        </w:rPr>
        <w:t>(</w:t>
      </w:r>
      <w:r w:rsidR="0080468F" w:rsidRPr="0080468F">
        <w:rPr>
          <w:rFonts w:ascii="Arial" w:hAnsi="Arial" w:cs="Arial"/>
        </w:rPr>
        <w:t>At Looked After Children or Special Educational</w:t>
      </w:r>
      <w:r w:rsidR="0080468F">
        <w:rPr>
          <w:rFonts w:ascii="Arial" w:hAnsi="Arial" w:cs="Arial"/>
        </w:rPr>
        <w:t xml:space="preserve"> Need reviews from Year 10- 13).</w:t>
      </w:r>
    </w:p>
    <w:p w:rsidR="0080468F" w:rsidRPr="0080468F" w:rsidRDefault="0080468F" w:rsidP="0080468F">
      <w:pPr>
        <w:tabs>
          <w:tab w:val="right" w:pos="2742"/>
        </w:tabs>
        <w:ind w:right="425"/>
        <w:rPr>
          <w:rFonts w:ascii="Arial" w:hAnsi="Arial" w:cs="Arial"/>
        </w:rPr>
      </w:pPr>
    </w:p>
    <w:p w:rsidR="0080468F" w:rsidRPr="0080468F" w:rsidRDefault="003F290A" w:rsidP="0080468F">
      <w:pPr>
        <w:tabs>
          <w:tab w:val="right" w:pos="2742"/>
        </w:tabs>
        <w:ind w:right="425"/>
        <w:rPr>
          <w:rFonts w:ascii="Arial" w:hAnsi="Arial" w:cs="Arial"/>
        </w:rPr>
      </w:pPr>
      <w:r>
        <w:rPr>
          <w:rFonts w:ascii="Arial" w:hAnsi="Arial" w:cs="Arial"/>
        </w:rPr>
        <w:t>WLS/</w:t>
      </w:r>
      <w:proofErr w:type="spellStart"/>
      <w:r>
        <w:rPr>
          <w:rFonts w:ascii="Arial" w:hAnsi="Arial" w:cs="Arial"/>
        </w:rPr>
        <w:t>Triskele</w:t>
      </w:r>
      <w:proofErr w:type="spellEnd"/>
      <w:r w:rsidR="0080468F" w:rsidRPr="0080468F">
        <w:rPr>
          <w:rFonts w:ascii="Arial" w:hAnsi="Arial" w:cs="Arial"/>
        </w:rPr>
        <w:t xml:space="preserve"> will also take pupils to local Careers Advice Centre</w:t>
      </w:r>
      <w:r w:rsidR="004F67D0">
        <w:rPr>
          <w:rFonts w:ascii="Arial" w:hAnsi="Arial" w:cs="Arial"/>
        </w:rPr>
        <w:t>’</w:t>
      </w:r>
      <w:r w:rsidR="0080468F" w:rsidRPr="0080468F">
        <w:rPr>
          <w:rFonts w:ascii="Arial" w:hAnsi="Arial" w:cs="Arial"/>
        </w:rPr>
        <w:t>s as and when required during Years 10-13.</w:t>
      </w:r>
    </w:p>
    <w:p w:rsidR="0080468F" w:rsidRPr="0080468F" w:rsidRDefault="0080468F" w:rsidP="0080468F">
      <w:pPr>
        <w:tabs>
          <w:tab w:val="right" w:pos="2742"/>
        </w:tabs>
        <w:ind w:right="425"/>
        <w:rPr>
          <w:rFonts w:ascii="Arial" w:hAnsi="Arial" w:cs="Arial"/>
        </w:rPr>
      </w:pPr>
    </w:p>
    <w:p w:rsidR="0080468F" w:rsidRPr="0080468F" w:rsidRDefault="0080468F" w:rsidP="0080468F">
      <w:pPr>
        <w:tabs>
          <w:tab w:val="right" w:pos="2742"/>
        </w:tabs>
        <w:ind w:right="425"/>
        <w:rPr>
          <w:rFonts w:ascii="Arial" w:hAnsi="Arial" w:cs="Arial"/>
        </w:rPr>
      </w:pPr>
      <w:r w:rsidRPr="0080468F">
        <w:rPr>
          <w:rFonts w:ascii="Arial" w:hAnsi="Arial" w:cs="Arial"/>
        </w:rPr>
        <w:t>The School will ensure that all S1319a forms are completed in years 11 or 13 to enable students to make the transition to further education or work based apprenticeships (this will be with the Somerset Careers Advisor or the Placing Authority Careers Advisor).</w:t>
      </w:r>
    </w:p>
    <w:p w:rsidR="0080468F" w:rsidRDefault="0080468F" w:rsidP="0080468F">
      <w:pPr>
        <w:tabs>
          <w:tab w:val="right" w:pos="2742"/>
        </w:tabs>
        <w:ind w:right="425"/>
        <w:rPr>
          <w:rFonts w:ascii="Arial" w:hAnsi="Arial" w:cs="Arial"/>
        </w:rPr>
      </w:pPr>
    </w:p>
    <w:p w:rsidR="004F67D0" w:rsidRDefault="004F67D0" w:rsidP="0080468F">
      <w:pPr>
        <w:tabs>
          <w:tab w:val="right" w:pos="2742"/>
        </w:tabs>
        <w:ind w:right="425"/>
        <w:rPr>
          <w:rFonts w:ascii="Arial" w:hAnsi="Arial" w:cs="Arial"/>
        </w:rPr>
      </w:pPr>
    </w:p>
    <w:p w:rsidR="004F67D0" w:rsidRDefault="004F67D0" w:rsidP="0080468F">
      <w:pPr>
        <w:tabs>
          <w:tab w:val="right" w:pos="2742"/>
        </w:tabs>
        <w:ind w:right="425"/>
        <w:rPr>
          <w:rFonts w:ascii="Arial" w:hAnsi="Arial" w:cs="Arial"/>
        </w:rPr>
      </w:pPr>
    </w:p>
    <w:p w:rsidR="004F67D0" w:rsidRPr="0080468F" w:rsidRDefault="004F67D0" w:rsidP="0080468F">
      <w:pPr>
        <w:tabs>
          <w:tab w:val="right" w:pos="2742"/>
        </w:tabs>
        <w:ind w:right="425"/>
        <w:rPr>
          <w:rFonts w:ascii="Arial" w:hAnsi="Arial" w:cs="Arial"/>
        </w:rPr>
      </w:pPr>
    </w:p>
    <w:p w:rsidR="0080468F" w:rsidRPr="0080468F" w:rsidRDefault="0080468F" w:rsidP="0080468F">
      <w:pPr>
        <w:tabs>
          <w:tab w:val="right" w:pos="2742"/>
        </w:tabs>
        <w:ind w:right="425"/>
        <w:rPr>
          <w:rFonts w:ascii="Arial" w:hAnsi="Arial" w:cs="Arial"/>
        </w:rPr>
      </w:pPr>
    </w:p>
    <w:p w:rsidR="0080468F" w:rsidRPr="0080468F" w:rsidRDefault="0080468F" w:rsidP="0080468F">
      <w:pPr>
        <w:tabs>
          <w:tab w:val="right" w:pos="2742"/>
        </w:tabs>
        <w:ind w:right="425"/>
        <w:rPr>
          <w:rFonts w:ascii="Arial" w:hAnsi="Arial" w:cs="Arial"/>
          <w:b/>
        </w:rPr>
      </w:pPr>
      <w:proofErr w:type="gramStart"/>
      <w:r w:rsidRPr="0080468F">
        <w:rPr>
          <w:rFonts w:ascii="Arial" w:hAnsi="Arial" w:cs="Arial"/>
          <w:b/>
        </w:rPr>
        <w:lastRenderedPageBreak/>
        <w:t>2.3  Equality</w:t>
      </w:r>
      <w:proofErr w:type="gramEnd"/>
      <w:r w:rsidRPr="0080468F">
        <w:rPr>
          <w:rFonts w:ascii="Arial" w:hAnsi="Arial" w:cs="Arial"/>
          <w:b/>
        </w:rPr>
        <w:t xml:space="preserve"> and Diversity</w:t>
      </w:r>
    </w:p>
    <w:p w:rsidR="0080468F" w:rsidRPr="0080468F" w:rsidRDefault="0080468F" w:rsidP="0080468F">
      <w:pPr>
        <w:tabs>
          <w:tab w:val="right" w:pos="2742"/>
        </w:tabs>
        <w:ind w:right="425"/>
        <w:rPr>
          <w:rFonts w:ascii="Arial" w:hAnsi="Arial" w:cs="Arial"/>
          <w:b/>
        </w:rPr>
      </w:pPr>
    </w:p>
    <w:p w:rsidR="0080468F" w:rsidRPr="0080468F" w:rsidRDefault="0080468F" w:rsidP="0080468F">
      <w:pPr>
        <w:tabs>
          <w:tab w:val="right" w:pos="2742"/>
        </w:tabs>
        <w:ind w:right="425"/>
        <w:rPr>
          <w:rFonts w:ascii="Arial" w:hAnsi="Arial" w:cs="Arial"/>
        </w:rPr>
      </w:pPr>
      <w:r w:rsidRPr="0080468F">
        <w:rPr>
          <w:rFonts w:ascii="Arial" w:hAnsi="Arial" w:cs="Arial"/>
        </w:rPr>
        <w:t xml:space="preserve">Careers advice is provided to all students. Students are encouraged to follow career paths that suit their interests, skills and strengths with the absence of stereotypes. All students are provided with the same opportunities and diversity is celebrated. </w:t>
      </w:r>
    </w:p>
    <w:p w:rsidR="0080468F" w:rsidRPr="0080468F" w:rsidRDefault="0080468F" w:rsidP="0080468F">
      <w:pPr>
        <w:tabs>
          <w:tab w:val="right" w:pos="2742"/>
        </w:tabs>
        <w:ind w:right="425"/>
        <w:rPr>
          <w:rFonts w:ascii="Arial" w:hAnsi="Arial" w:cs="Arial"/>
        </w:rPr>
      </w:pPr>
    </w:p>
    <w:p w:rsidR="0080468F" w:rsidRPr="0080468F" w:rsidRDefault="0080468F" w:rsidP="0080468F">
      <w:pPr>
        <w:tabs>
          <w:tab w:val="right" w:pos="2742"/>
        </w:tabs>
        <w:ind w:right="425"/>
        <w:rPr>
          <w:rFonts w:ascii="Arial" w:hAnsi="Arial" w:cs="Arial"/>
        </w:rPr>
      </w:pPr>
    </w:p>
    <w:p w:rsidR="0080468F" w:rsidRPr="0080468F" w:rsidRDefault="0080468F" w:rsidP="0080468F">
      <w:pPr>
        <w:tabs>
          <w:tab w:val="right" w:pos="2742"/>
        </w:tabs>
        <w:ind w:right="425"/>
        <w:rPr>
          <w:rFonts w:ascii="Arial" w:hAnsi="Arial" w:cs="Arial"/>
        </w:rPr>
      </w:pPr>
      <w:r w:rsidRPr="0080468F">
        <w:rPr>
          <w:rFonts w:ascii="Arial" w:hAnsi="Arial" w:cs="Arial"/>
        </w:rPr>
        <w:t>Students will receive Careers lessons, Guided Tutor Time, access to local Careers offices, given advice that is impartial and up to date</w:t>
      </w:r>
      <w:proofErr w:type="gramStart"/>
      <w:r w:rsidRPr="0080468F">
        <w:rPr>
          <w:rFonts w:ascii="Arial" w:hAnsi="Arial" w:cs="Arial"/>
        </w:rPr>
        <w:t>, .treated</w:t>
      </w:r>
      <w:proofErr w:type="gramEnd"/>
      <w:r w:rsidRPr="0080468F">
        <w:rPr>
          <w:rFonts w:ascii="Arial" w:hAnsi="Arial" w:cs="Arial"/>
        </w:rPr>
        <w:t xml:space="preserve"> with respect by visitors to the school who are part of the careers service and given extra help if needed.</w:t>
      </w:r>
    </w:p>
    <w:p w:rsidR="0080468F" w:rsidRPr="0080468F" w:rsidRDefault="0080468F" w:rsidP="0080468F">
      <w:pPr>
        <w:tabs>
          <w:tab w:val="right" w:pos="2742"/>
        </w:tabs>
        <w:ind w:right="425"/>
        <w:rPr>
          <w:rFonts w:ascii="Arial" w:hAnsi="Arial" w:cs="Arial"/>
        </w:rPr>
      </w:pPr>
    </w:p>
    <w:p w:rsidR="0080468F" w:rsidRPr="0080468F" w:rsidRDefault="0080468F" w:rsidP="0080468F">
      <w:pPr>
        <w:tabs>
          <w:tab w:val="right" w:pos="2742"/>
        </w:tabs>
        <w:ind w:right="425"/>
        <w:rPr>
          <w:rFonts w:ascii="Arial" w:hAnsi="Arial" w:cs="Arial"/>
          <w:b/>
        </w:rPr>
      </w:pPr>
    </w:p>
    <w:p w:rsidR="0080468F" w:rsidRPr="0080468F" w:rsidRDefault="0080468F" w:rsidP="0080468F">
      <w:pPr>
        <w:tabs>
          <w:tab w:val="right" w:pos="2742"/>
        </w:tabs>
        <w:ind w:right="425"/>
        <w:rPr>
          <w:rFonts w:ascii="Arial" w:hAnsi="Arial" w:cs="Arial"/>
          <w:b/>
        </w:rPr>
      </w:pPr>
      <w:proofErr w:type="gramStart"/>
      <w:r w:rsidRPr="0080468F">
        <w:rPr>
          <w:rFonts w:ascii="Arial" w:hAnsi="Arial" w:cs="Arial"/>
          <w:b/>
        </w:rPr>
        <w:t>2.4  Parents</w:t>
      </w:r>
      <w:proofErr w:type="gramEnd"/>
      <w:r w:rsidRPr="0080468F">
        <w:rPr>
          <w:rFonts w:ascii="Arial" w:hAnsi="Arial" w:cs="Arial"/>
          <w:b/>
        </w:rPr>
        <w:t xml:space="preserve"> and </w:t>
      </w:r>
      <w:proofErr w:type="spellStart"/>
      <w:r w:rsidRPr="0080468F">
        <w:rPr>
          <w:rFonts w:ascii="Arial" w:hAnsi="Arial" w:cs="Arial"/>
          <w:b/>
        </w:rPr>
        <w:t>Carers</w:t>
      </w:r>
      <w:proofErr w:type="spellEnd"/>
    </w:p>
    <w:p w:rsidR="0080468F" w:rsidRPr="0080468F" w:rsidRDefault="0080468F" w:rsidP="0080468F">
      <w:pPr>
        <w:tabs>
          <w:tab w:val="right" w:pos="2742"/>
        </w:tabs>
        <w:ind w:right="425"/>
        <w:rPr>
          <w:rFonts w:ascii="Arial" w:hAnsi="Arial" w:cs="Arial"/>
          <w:b/>
        </w:rPr>
      </w:pPr>
    </w:p>
    <w:p w:rsidR="0080468F" w:rsidRPr="0080468F" w:rsidRDefault="0080468F" w:rsidP="0080468F">
      <w:pPr>
        <w:tabs>
          <w:tab w:val="right" w:pos="2742"/>
        </w:tabs>
        <w:ind w:right="425"/>
        <w:rPr>
          <w:rFonts w:ascii="Arial" w:hAnsi="Arial" w:cs="Arial"/>
        </w:rPr>
      </w:pPr>
      <w:r w:rsidRPr="0080468F">
        <w:rPr>
          <w:rFonts w:ascii="Arial" w:hAnsi="Arial" w:cs="Arial"/>
        </w:rPr>
        <w:t xml:space="preserve">Parental and </w:t>
      </w:r>
      <w:proofErr w:type="spellStart"/>
      <w:r w:rsidRPr="0080468F">
        <w:rPr>
          <w:rFonts w:ascii="Arial" w:hAnsi="Arial" w:cs="Arial"/>
        </w:rPr>
        <w:t>Carer</w:t>
      </w:r>
      <w:proofErr w:type="spellEnd"/>
      <w:r w:rsidRPr="0080468F">
        <w:rPr>
          <w:rFonts w:ascii="Arial" w:hAnsi="Arial" w:cs="Arial"/>
        </w:rPr>
        <w:t xml:space="preserve"> involvement is encouraged at all stages and they are welcomed to attend all Careers advice meetings.</w:t>
      </w:r>
    </w:p>
    <w:p w:rsidR="00A034BB" w:rsidRPr="0080468F" w:rsidRDefault="00A034BB" w:rsidP="00A034BB">
      <w:pPr>
        <w:rPr>
          <w:rFonts w:ascii="Arial" w:hAnsi="Arial" w:cs="Arial"/>
          <w:bCs/>
        </w:rPr>
      </w:pPr>
    </w:p>
    <w:p w:rsidR="000E7CCE" w:rsidRPr="0080468F" w:rsidRDefault="00A034BB" w:rsidP="000E7CCE">
      <w:pPr>
        <w:rPr>
          <w:rFonts w:ascii="Arial" w:hAnsi="Arial" w:cs="Arial"/>
          <w:b/>
        </w:rPr>
      </w:pPr>
      <w:r w:rsidRPr="0080468F">
        <w:rPr>
          <w:rFonts w:ascii="Arial" w:hAnsi="Arial" w:cs="Arial"/>
          <w:b/>
          <w:bCs/>
        </w:rPr>
        <w:t xml:space="preserve">3. </w:t>
      </w:r>
      <w:r w:rsidR="000E7CCE" w:rsidRPr="0080468F">
        <w:rPr>
          <w:rFonts w:ascii="Arial" w:hAnsi="Arial" w:cs="Arial"/>
          <w:b/>
          <w:bCs/>
        </w:rPr>
        <w:t>Equality Impact Statement</w:t>
      </w:r>
    </w:p>
    <w:p w:rsidR="000E7CCE" w:rsidRPr="0080468F" w:rsidRDefault="000E7CCE" w:rsidP="000E7CCE">
      <w:pPr>
        <w:rPr>
          <w:rFonts w:ascii="Arial" w:hAnsi="Arial" w:cs="Arial"/>
          <w:color w:val="000000"/>
        </w:rPr>
      </w:pPr>
      <w:r w:rsidRPr="0080468F">
        <w:rPr>
          <w:rFonts w:ascii="Arial" w:hAnsi="Arial" w:cs="Arial"/>
          <w:b/>
          <w:bCs/>
          <w:color w:val="000000"/>
        </w:rPr>
        <w:t> </w:t>
      </w:r>
    </w:p>
    <w:p w:rsidR="000E7CCE" w:rsidRPr="0080468F" w:rsidRDefault="000E7CCE" w:rsidP="000E7CCE">
      <w:pPr>
        <w:rPr>
          <w:rFonts w:ascii="Arial" w:hAnsi="Arial" w:cs="Arial"/>
          <w:color w:val="000000"/>
        </w:rPr>
      </w:pPr>
      <w:r w:rsidRPr="0080468F">
        <w:rPr>
          <w:rFonts w:ascii="Arial" w:hAnsi="Arial" w:cs="Arial"/>
          <w:color w:val="000000"/>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for Education and Learning. Enhanced Learning Services will then actively respond to the enquiry.</w:t>
      </w:r>
    </w:p>
    <w:p w:rsidR="000E7CCE" w:rsidRPr="0080468F" w:rsidRDefault="000E7CCE" w:rsidP="000E7CCE">
      <w:pPr>
        <w:rPr>
          <w:rFonts w:ascii="Arial" w:hAnsi="Arial" w:cs="Arial"/>
          <w:color w:val="000000"/>
        </w:rPr>
      </w:pPr>
      <w:r w:rsidRPr="0080468F">
        <w:rPr>
          <w:rFonts w:ascii="Arial" w:hAnsi="Arial" w:cs="Arial"/>
          <w:color w:val="000000"/>
        </w:rPr>
        <w:t> </w:t>
      </w:r>
    </w:p>
    <w:p w:rsidR="000E7CCE" w:rsidRPr="0080468F" w:rsidRDefault="000E7CCE" w:rsidP="000E7CCE">
      <w:pPr>
        <w:rPr>
          <w:rFonts w:ascii="Arial" w:hAnsi="Arial" w:cs="Arial"/>
          <w:color w:val="000000"/>
        </w:rPr>
      </w:pPr>
    </w:p>
    <w:p w:rsidR="000E7CCE" w:rsidRPr="0080468F" w:rsidRDefault="000E7CCE" w:rsidP="000E7CCE">
      <w:pPr>
        <w:rPr>
          <w:rFonts w:ascii="Arial" w:hAnsi="Arial" w:cs="Arial"/>
          <w:color w:val="000000"/>
        </w:rPr>
      </w:pPr>
    </w:p>
    <w:p w:rsidR="000E7CCE" w:rsidRPr="0080468F" w:rsidRDefault="000E7CCE" w:rsidP="000E7CCE">
      <w:pPr>
        <w:rPr>
          <w:rFonts w:ascii="Arial" w:hAnsi="Arial" w:cs="Arial"/>
          <w:color w:val="000000"/>
        </w:rPr>
      </w:pPr>
      <w:r w:rsidRPr="0080468F">
        <w:rPr>
          <w:rFonts w:ascii="Arial" w:hAnsi="Arial" w:cs="Arial"/>
          <w:color w:val="000000"/>
        </w:rPr>
        <w:t>This poli</w:t>
      </w:r>
      <w:r w:rsidR="003F290A">
        <w:rPr>
          <w:rFonts w:ascii="Arial" w:hAnsi="Arial" w:cs="Arial"/>
          <w:color w:val="000000"/>
        </w:rPr>
        <w:t>cy is written by Neil Gage</w:t>
      </w:r>
      <w:r w:rsidRPr="0080468F">
        <w:rPr>
          <w:rFonts w:ascii="Arial" w:hAnsi="Arial" w:cs="Arial"/>
          <w:color w:val="000000"/>
        </w:rPr>
        <w:t xml:space="preserve">                                   Date: </w:t>
      </w:r>
      <w:r w:rsidR="004F67D0">
        <w:rPr>
          <w:rFonts w:ascii="Arial" w:hAnsi="Arial" w:cs="Arial"/>
        </w:rPr>
        <w:t>28/07/2020</w:t>
      </w:r>
      <w:bookmarkStart w:id="0" w:name="_GoBack"/>
      <w:bookmarkEnd w:id="0"/>
    </w:p>
    <w:p w:rsidR="000E7CCE" w:rsidRPr="0080468F" w:rsidRDefault="000E7CCE" w:rsidP="000E7CCE">
      <w:pPr>
        <w:rPr>
          <w:rFonts w:ascii="Arial" w:hAnsi="Arial" w:cs="Arial"/>
          <w:color w:val="000000"/>
        </w:rPr>
      </w:pPr>
    </w:p>
    <w:p w:rsidR="000E7CCE" w:rsidRPr="0080468F" w:rsidRDefault="000E7CCE" w:rsidP="000E7CCE">
      <w:pPr>
        <w:rPr>
          <w:rFonts w:ascii="Arial" w:hAnsi="Arial" w:cs="Arial"/>
          <w:color w:val="000000"/>
        </w:rPr>
      </w:pPr>
      <w:r w:rsidRPr="0080468F">
        <w:rPr>
          <w:rFonts w:ascii="Arial" w:hAnsi="Arial" w:cs="Arial"/>
          <w:color w:val="000000"/>
        </w:rPr>
        <w:t>Signed</w:t>
      </w:r>
    </w:p>
    <w:p w:rsidR="000E7CCE" w:rsidRPr="0080468F" w:rsidRDefault="000E7CCE" w:rsidP="000E7CCE">
      <w:pPr>
        <w:rPr>
          <w:rFonts w:ascii="Arial" w:hAnsi="Arial" w:cs="Arial"/>
          <w:color w:val="000000"/>
        </w:rPr>
      </w:pPr>
    </w:p>
    <w:p w:rsidR="000E7CCE" w:rsidRPr="0080468F" w:rsidRDefault="000E7CCE" w:rsidP="000E7CCE">
      <w:pPr>
        <w:rPr>
          <w:rFonts w:ascii="Arial" w:hAnsi="Arial" w:cs="Arial"/>
          <w:color w:val="000000"/>
        </w:rPr>
      </w:pPr>
    </w:p>
    <w:p w:rsidR="000E7CCE" w:rsidRPr="0080468F" w:rsidRDefault="000E7CCE" w:rsidP="000E7CCE">
      <w:pPr>
        <w:rPr>
          <w:rFonts w:ascii="Arial" w:hAnsi="Arial" w:cs="Arial"/>
          <w:color w:val="000000"/>
        </w:rPr>
      </w:pPr>
    </w:p>
    <w:p w:rsidR="000E7CCE" w:rsidRPr="0080468F" w:rsidRDefault="000E7CCE" w:rsidP="000E7CCE">
      <w:pPr>
        <w:rPr>
          <w:rFonts w:ascii="Arial" w:hAnsi="Arial" w:cs="Arial"/>
          <w:color w:val="000000"/>
        </w:rPr>
      </w:pPr>
      <w:r w:rsidRPr="0080468F">
        <w:rPr>
          <w:rFonts w:ascii="Arial" w:hAnsi="Arial" w:cs="Arial"/>
          <w:color w:val="000000"/>
        </w:rPr>
        <w:t>This policy is quality assured by Jason Goddard, Group Director for Education and Learning.</w:t>
      </w:r>
    </w:p>
    <w:p w:rsidR="000E7CCE" w:rsidRPr="0080468F" w:rsidRDefault="000E7CCE" w:rsidP="000E7CCE">
      <w:pPr>
        <w:rPr>
          <w:rFonts w:ascii="Arial" w:hAnsi="Arial" w:cs="Arial"/>
          <w:color w:val="000000"/>
        </w:rPr>
      </w:pPr>
      <w:r w:rsidRPr="0080468F">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154940</wp:posOffset>
            </wp:positionV>
            <wp:extent cx="1076325" cy="514350"/>
            <wp:effectExtent l="0" t="0" r="9525"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68F">
        <w:rPr>
          <w:rFonts w:ascii="Arial" w:hAnsi="Arial" w:cs="Arial"/>
          <w:color w:val="000000"/>
        </w:rPr>
        <w:t> </w:t>
      </w:r>
    </w:p>
    <w:p w:rsidR="000E7CCE" w:rsidRPr="0080468F" w:rsidRDefault="000E7CCE" w:rsidP="000E7CCE">
      <w:pPr>
        <w:rPr>
          <w:rFonts w:ascii="Arial" w:hAnsi="Arial" w:cs="Arial"/>
          <w:color w:val="000000"/>
        </w:rPr>
      </w:pPr>
      <w:r w:rsidRPr="0080468F">
        <w:rPr>
          <w:rFonts w:ascii="Arial" w:hAnsi="Arial" w:cs="Arial"/>
          <w:color w:val="000000"/>
        </w:rPr>
        <w:t>Signed:                                                                                Date: </w:t>
      </w:r>
      <w:r w:rsidR="004F67D0">
        <w:rPr>
          <w:rFonts w:ascii="Arial" w:hAnsi="Arial" w:cs="Arial"/>
        </w:rPr>
        <w:t>28/07/2020</w:t>
      </w:r>
    </w:p>
    <w:p w:rsidR="000E7CCE" w:rsidRPr="0080468F" w:rsidRDefault="000E7CCE" w:rsidP="000E7CCE">
      <w:pPr>
        <w:rPr>
          <w:rFonts w:ascii="Arial" w:hAnsi="Arial" w:cs="Arial"/>
          <w:color w:val="000000"/>
        </w:rPr>
      </w:pPr>
      <w:r w:rsidRPr="0080468F">
        <w:rPr>
          <w:rFonts w:ascii="Arial" w:hAnsi="Arial" w:cs="Arial"/>
          <w:color w:val="000000"/>
        </w:rPr>
        <w:t> </w:t>
      </w:r>
    </w:p>
    <w:p w:rsidR="000E7CCE" w:rsidRPr="0080468F" w:rsidRDefault="000E7CCE" w:rsidP="000E7CCE">
      <w:pPr>
        <w:rPr>
          <w:rFonts w:ascii="Arial" w:hAnsi="Arial" w:cs="Arial"/>
          <w:color w:val="000000"/>
        </w:rPr>
      </w:pPr>
      <w:r w:rsidRPr="0080468F">
        <w:rPr>
          <w:rFonts w:ascii="Arial" w:hAnsi="Arial" w:cs="Arial"/>
          <w:color w:val="000000"/>
        </w:rPr>
        <w:t> </w:t>
      </w:r>
    </w:p>
    <w:p w:rsidR="000E7CCE" w:rsidRPr="0080468F" w:rsidRDefault="000E7CCE" w:rsidP="000E7CCE">
      <w:pPr>
        <w:rPr>
          <w:rFonts w:ascii="Arial" w:hAnsi="Arial" w:cs="Arial"/>
          <w:color w:val="000000"/>
        </w:rPr>
      </w:pPr>
    </w:p>
    <w:p w:rsidR="000E7CCE" w:rsidRPr="0080468F" w:rsidRDefault="000E7CCE" w:rsidP="000E7CCE">
      <w:pPr>
        <w:rPr>
          <w:rFonts w:ascii="Arial" w:hAnsi="Arial" w:cs="Arial"/>
          <w:color w:val="000000"/>
        </w:rPr>
      </w:pPr>
      <w:r w:rsidRPr="0080468F">
        <w:rPr>
          <w:rFonts w:ascii="Arial" w:hAnsi="Arial" w:cs="Arial"/>
          <w:color w:val="000000"/>
        </w:rPr>
        <w:t>The policy is quality assured by Governor:</w:t>
      </w:r>
    </w:p>
    <w:p w:rsidR="000E7CCE" w:rsidRPr="0080468F" w:rsidRDefault="000E7CCE" w:rsidP="00472FAB">
      <w:pPr>
        <w:tabs>
          <w:tab w:val="left" w:pos="1740"/>
        </w:tabs>
        <w:rPr>
          <w:rFonts w:ascii="Arial" w:hAnsi="Arial" w:cs="Arial"/>
        </w:rPr>
      </w:pPr>
    </w:p>
    <w:sectPr w:rsidR="000E7CCE" w:rsidRPr="0080468F"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2C" w:rsidRDefault="00A5722C">
      <w:r>
        <w:separator/>
      </w:r>
    </w:p>
  </w:endnote>
  <w:endnote w:type="continuationSeparator" w:id="0">
    <w:p w:rsidR="00A5722C" w:rsidRDefault="00A5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2C" w:rsidRDefault="00A5722C">
      <w:r>
        <w:separator/>
      </w:r>
    </w:p>
  </w:footnote>
  <w:footnote w:type="continuationSeparator" w:id="0">
    <w:p w:rsidR="00A5722C" w:rsidRDefault="00A572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E1"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90A">
      <w:rPr>
        <w:rFonts w:ascii="Arial" w:hAnsi="Arial" w:cs="Arial"/>
        <w:b/>
        <w:bCs/>
        <w:sz w:val="40"/>
        <w:szCs w:val="40"/>
        <w:lang w:val="en-GB"/>
      </w:rPr>
      <w:t>WLS/</w:t>
    </w:r>
    <w:proofErr w:type="spellStart"/>
    <w:r w:rsidR="003F290A">
      <w:rPr>
        <w:rFonts w:ascii="Arial" w:hAnsi="Arial" w:cs="Arial"/>
        <w:b/>
        <w:bCs/>
        <w:sz w:val="40"/>
        <w:szCs w:val="40"/>
        <w:lang w:val="en-GB"/>
      </w:rPr>
      <w:t>Triskele</w:t>
    </w:r>
    <w:proofErr w:type="spellEnd"/>
    <w:r w:rsidR="00A034BB">
      <w:rPr>
        <w:rFonts w:ascii="Arial" w:hAnsi="Arial" w:cs="Arial"/>
        <w:b/>
        <w:bCs/>
        <w:sz w:val="40"/>
        <w:szCs w:val="40"/>
        <w:lang w:val="en-GB"/>
      </w:rPr>
      <w:t xml:space="preserve"> </w:t>
    </w:r>
    <w:r w:rsidR="0080468F">
      <w:rPr>
        <w:rFonts w:ascii="Arial" w:hAnsi="Arial" w:cs="Arial"/>
        <w:b/>
        <w:bCs/>
        <w:sz w:val="40"/>
        <w:szCs w:val="40"/>
        <w:lang w:val="en-GB"/>
      </w:rPr>
      <w:t>Careers</w:t>
    </w:r>
    <w:r w:rsidR="00A034BB">
      <w:rPr>
        <w:rFonts w:ascii="Arial" w:hAnsi="Arial" w:cs="Arial"/>
        <w:b/>
        <w:bCs/>
        <w:sz w:val="40"/>
        <w:szCs w:val="40"/>
        <w:lang w:val="en-GB"/>
      </w:rPr>
      <w:t xml:space="preserve"> </w:t>
    </w:r>
    <w:r w:rsidR="004E69D0">
      <w:rPr>
        <w:rFonts w:ascii="Arial" w:hAnsi="Arial" w:cs="Arial"/>
        <w:b/>
        <w:bCs/>
        <w:sz w:val="40"/>
        <w:szCs w:val="40"/>
        <w:lang w:val="en-GB"/>
      </w:rPr>
      <w:t>Policy</w:t>
    </w:r>
    <w:r w:rsidR="00F77119">
      <w:rPr>
        <w:rFonts w:ascii="Arial" w:hAnsi="Arial" w:cs="Arial"/>
        <w:b/>
        <w:bCs/>
        <w:sz w:val="40"/>
        <w:szCs w:val="40"/>
        <w:lang w:val="en-GB"/>
      </w:rPr>
      <w:tab/>
    </w:r>
  </w:p>
  <w:bookmarkEnd w:id="1"/>
  <w:p w:rsidR="004A2EE5" w:rsidRPr="00D217E1" w:rsidRDefault="004A2EE5" w:rsidP="00D217E1">
    <w:pPr>
      <w:tabs>
        <w:tab w:val="right" w:pos="9638"/>
      </w:tabs>
      <w:rPr>
        <w:rFonts w:ascii="Arial" w:hAnsi="Arial" w:cs="Arial"/>
        <w:b/>
        <w:sz w:val="40"/>
        <w:szCs w:val="40"/>
        <w:lang w:val="en-GB" w:eastAsia="en-GB"/>
      </w:rPr>
    </w:pPr>
  </w:p>
  <w:p w:rsidR="00657750" w:rsidRDefault="006577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3B"/>
    <w:multiLevelType w:val="hybridMultilevel"/>
    <w:tmpl w:val="DF568C4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B1A77"/>
    <w:multiLevelType w:val="hybridMultilevel"/>
    <w:tmpl w:val="D90E9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C652F5"/>
    <w:multiLevelType w:val="hybridMultilevel"/>
    <w:tmpl w:val="7F3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906C2"/>
    <w:multiLevelType w:val="hybridMultilevel"/>
    <w:tmpl w:val="FB965BF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9D02210"/>
    <w:multiLevelType w:val="hybridMultilevel"/>
    <w:tmpl w:val="82CC6D76"/>
    <w:lvl w:ilvl="0" w:tplc="FB5CB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D45EB"/>
    <w:multiLevelType w:val="hybridMultilevel"/>
    <w:tmpl w:val="D0364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5"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070725"/>
    <w:multiLevelType w:val="hybridMultilevel"/>
    <w:tmpl w:val="1C845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6007B8"/>
    <w:multiLevelType w:val="hybridMultilevel"/>
    <w:tmpl w:val="AAC4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F337B19"/>
    <w:multiLevelType w:val="multilevel"/>
    <w:tmpl w:val="8AF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35"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3158E0"/>
    <w:multiLevelType w:val="hybridMultilevel"/>
    <w:tmpl w:val="F7B0D4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077C13"/>
    <w:multiLevelType w:val="hybridMultilevel"/>
    <w:tmpl w:val="A9440E4A"/>
    <w:lvl w:ilvl="0" w:tplc="0409000B">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1" w15:restartNumberingAfterBreak="0">
    <w:nsid w:val="78AB0EF6"/>
    <w:multiLevelType w:val="hybridMultilevel"/>
    <w:tmpl w:val="5D9CB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41"/>
  </w:num>
  <w:num w:numId="4">
    <w:abstractNumId w:val="26"/>
  </w:num>
  <w:num w:numId="5">
    <w:abstractNumId w:val="36"/>
  </w:num>
  <w:num w:numId="6">
    <w:abstractNumId w:val="34"/>
  </w:num>
  <w:num w:numId="7">
    <w:abstractNumId w:val="32"/>
  </w:num>
  <w:num w:numId="8">
    <w:abstractNumId w:val="38"/>
  </w:num>
  <w:num w:numId="9">
    <w:abstractNumId w:val="8"/>
  </w:num>
  <w:num w:numId="10">
    <w:abstractNumId w:val="5"/>
  </w:num>
  <w:num w:numId="11">
    <w:abstractNumId w:val="25"/>
  </w:num>
  <w:num w:numId="12">
    <w:abstractNumId w:val="40"/>
  </w:num>
  <w:num w:numId="13">
    <w:abstractNumId w:val="4"/>
  </w:num>
  <w:num w:numId="14">
    <w:abstractNumId w:val="21"/>
  </w:num>
  <w:num w:numId="15">
    <w:abstractNumId w:val="29"/>
  </w:num>
  <w:num w:numId="16">
    <w:abstractNumId w:val="13"/>
  </w:num>
  <w:num w:numId="17">
    <w:abstractNumId w:val="27"/>
  </w:num>
  <w:num w:numId="18">
    <w:abstractNumId w:val="2"/>
  </w:num>
  <w:num w:numId="19">
    <w:abstractNumId w:val="35"/>
  </w:num>
  <w:num w:numId="20">
    <w:abstractNumId w:val="14"/>
  </w:num>
  <w:num w:numId="21">
    <w:abstractNumId w:val="15"/>
  </w:num>
  <w:num w:numId="22">
    <w:abstractNumId w:val="12"/>
  </w:num>
  <w:num w:numId="23">
    <w:abstractNumId w:val="9"/>
  </w:num>
  <w:num w:numId="24">
    <w:abstractNumId w:val="19"/>
  </w:num>
  <w:num w:numId="25">
    <w:abstractNumId w:val="17"/>
  </w:num>
  <w:num w:numId="26">
    <w:abstractNumId w:val="23"/>
  </w:num>
  <w:num w:numId="27">
    <w:abstractNumId w:val="3"/>
  </w:num>
  <w:num w:numId="28">
    <w:abstractNumId w:val="7"/>
  </w:num>
  <w:num w:numId="29">
    <w:abstractNumId w:val="10"/>
  </w:num>
  <w:num w:numId="30">
    <w:abstractNumId w:val="0"/>
  </w:num>
  <w:num w:numId="31">
    <w:abstractNumId w:val="37"/>
  </w:num>
  <w:num w:numId="32">
    <w:abstractNumId w:val="18"/>
  </w:num>
  <w:num w:numId="33">
    <w:abstractNumId w:val="20"/>
  </w:num>
  <w:num w:numId="34">
    <w:abstractNumId w:val="33"/>
  </w:num>
  <w:num w:numId="35">
    <w:abstractNumId w:val="39"/>
  </w:num>
  <w:num w:numId="36">
    <w:abstractNumId w:val="1"/>
  </w:num>
  <w:num w:numId="37">
    <w:abstractNumId w:val="24"/>
  </w:num>
  <w:num w:numId="38">
    <w:abstractNumId w:val="28"/>
  </w:num>
  <w:num w:numId="39">
    <w:abstractNumId w:val="30"/>
  </w:num>
  <w:num w:numId="40">
    <w:abstractNumId w:val="31"/>
  </w:num>
  <w:num w:numId="41">
    <w:abstractNumId w:val="1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31065"/>
    <w:rsid w:val="00132935"/>
    <w:rsid w:val="00141B2F"/>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184"/>
    <w:rsid w:val="00342E98"/>
    <w:rsid w:val="00361740"/>
    <w:rsid w:val="00380020"/>
    <w:rsid w:val="003870B3"/>
    <w:rsid w:val="003906D1"/>
    <w:rsid w:val="00390E01"/>
    <w:rsid w:val="00391334"/>
    <w:rsid w:val="003B113C"/>
    <w:rsid w:val="003C5F20"/>
    <w:rsid w:val="003F290A"/>
    <w:rsid w:val="003F6BEA"/>
    <w:rsid w:val="00401B8D"/>
    <w:rsid w:val="00405A59"/>
    <w:rsid w:val="004139D6"/>
    <w:rsid w:val="004237C3"/>
    <w:rsid w:val="00425E04"/>
    <w:rsid w:val="00441C44"/>
    <w:rsid w:val="00447319"/>
    <w:rsid w:val="00470F8A"/>
    <w:rsid w:val="00472FAB"/>
    <w:rsid w:val="004800B1"/>
    <w:rsid w:val="004A2EE5"/>
    <w:rsid w:val="004A3124"/>
    <w:rsid w:val="004A34DC"/>
    <w:rsid w:val="004D5D47"/>
    <w:rsid w:val="004D70D0"/>
    <w:rsid w:val="004E57F2"/>
    <w:rsid w:val="004E69D0"/>
    <w:rsid w:val="004F67D0"/>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928BC"/>
    <w:rsid w:val="006A17DF"/>
    <w:rsid w:val="006F7489"/>
    <w:rsid w:val="00723D70"/>
    <w:rsid w:val="00735858"/>
    <w:rsid w:val="00754968"/>
    <w:rsid w:val="007575B7"/>
    <w:rsid w:val="00764C0D"/>
    <w:rsid w:val="00787664"/>
    <w:rsid w:val="007C4D68"/>
    <w:rsid w:val="00800251"/>
    <w:rsid w:val="0080468F"/>
    <w:rsid w:val="0080489D"/>
    <w:rsid w:val="00820BBC"/>
    <w:rsid w:val="00827F5E"/>
    <w:rsid w:val="00871773"/>
    <w:rsid w:val="00882D2C"/>
    <w:rsid w:val="008832E1"/>
    <w:rsid w:val="00885B25"/>
    <w:rsid w:val="0088676D"/>
    <w:rsid w:val="008A1F14"/>
    <w:rsid w:val="008D611E"/>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553F5"/>
    <w:rsid w:val="00A5722C"/>
    <w:rsid w:val="00A76A28"/>
    <w:rsid w:val="00A77123"/>
    <w:rsid w:val="00AB4398"/>
    <w:rsid w:val="00AD1B8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66882"/>
    <w:rsid w:val="00C81ED3"/>
    <w:rsid w:val="00C85557"/>
    <w:rsid w:val="00C8592C"/>
    <w:rsid w:val="00CD5D65"/>
    <w:rsid w:val="00CE6C9F"/>
    <w:rsid w:val="00CF6869"/>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74CC"/>
    <w:rsid w:val="00DD16E9"/>
    <w:rsid w:val="00E017CB"/>
    <w:rsid w:val="00E03CA2"/>
    <w:rsid w:val="00E100E6"/>
    <w:rsid w:val="00E3444D"/>
    <w:rsid w:val="00E36226"/>
    <w:rsid w:val="00E5744D"/>
    <w:rsid w:val="00E638C2"/>
    <w:rsid w:val="00E75134"/>
    <w:rsid w:val="00EB2C46"/>
    <w:rsid w:val="00EC779F"/>
    <w:rsid w:val="00F163F7"/>
    <w:rsid w:val="00F163FF"/>
    <w:rsid w:val="00F63C3B"/>
    <w:rsid w:val="00F77119"/>
    <w:rsid w:val="00F811B1"/>
    <w:rsid w:val="00FA4588"/>
    <w:rsid w:val="00FC6089"/>
    <w:rsid w:val="00FC7B4D"/>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329EF6"/>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8</cp:revision>
  <cp:lastPrinted>2017-10-16T08:35:00Z</cp:lastPrinted>
  <dcterms:created xsi:type="dcterms:W3CDTF">2017-10-16T11:22:00Z</dcterms:created>
  <dcterms:modified xsi:type="dcterms:W3CDTF">2020-07-28T09:02:00Z</dcterms:modified>
</cp:coreProperties>
</file>